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311" w:rsidRDefault="00EE4F36">
      <w:pPr>
        <w:pStyle w:val="Ttulo1"/>
        <w:spacing w:before="41"/>
        <w:jc w:val="center"/>
      </w:pPr>
      <w:bookmarkStart w:id="0" w:name="_GoBack"/>
      <w:bookmarkEnd w:id="0"/>
      <w:r>
        <w:t>CERTIFICADO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SOPORTE</w:t>
      </w:r>
      <w:r>
        <w:rPr>
          <w:spacing w:val="-8"/>
        </w:rPr>
        <w:t xml:space="preserve"> </w:t>
      </w:r>
      <w:r>
        <w:rPr>
          <w:spacing w:val="-2"/>
        </w:rPr>
        <w:t>TÉCNICO</w:t>
      </w:r>
    </w:p>
    <w:p w:rsidR="00DD1311" w:rsidRDefault="00DD1311">
      <w:pPr>
        <w:pStyle w:val="Textoindependiente"/>
        <w:rPr>
          <w:b/>
        </w:rPr>
      </w:pPr>
    </w:p>
    <w:p w:rsidR="00DD1311" w:rsidRDefault="00DD1311">
      <w:pPr>
        <w:pStyle w:val="Textoindependiente"/>
        <w:rPr>
          <w:b/>
        </w:rPr>
      </w:pPr>
    </w:p>
    <w:p w:rsidR="00DD1311" w:rsidRDefault="00EE4F36">
      <w:pPr>
        <w:pStyle w:val="Textoindependiente"/>
        <w:ind w:left="1" w:right="17"/>
        <w:jc w:val="both"/>
      </w:pPr>
      <w:r>
        <w:t xml:space="preserve">En mi calidad de Contratista, </w:t>
      </w:r>
      <w:r>
        <w:rPr>
          <w:color w:val="000000"/>
          <w:highlight w:val="green"/>
        </w:rPr>
        <w:t>(nombre de persona natural o jurídica, asociación o consorcio),</w:t>
      </w:r>
      <w:r>
        <w:rPr>
          <w:color w:val="000000"/>
        </w:rPr>
        <w:t xml:space="preserve"> garantizo los servicios del objeto de contratación “</w:t>
      </w:r>
      <w:r>
        <w:rPr>
          <w:color w:val="000000"/>
          <w:highlight w:val="green"/>
        </w:rPr>
        <w:t>incluir el objeto de contratación</w:t>
      </w:r>
      <w:r>
        <w:rPr>
          <w:color w:val="000000"/>
        </w:rPr>
        <w:t>” por un plazo de “</w:t>
      </w:r>
      <w:r>
        <w:rPr>
          <w:color w:val="000000"/>
          <w:highlight w:val="green"/>
        </w:rPr>
        <w:t>XXXX” días/meses/años</w:t>
      </w:r>
      <w:r>
        <w:rPr>
          <w:color w:val="000000"/>
        </w:rPr>
        <w:t>, contados a partir de la firma del acta de entrega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recepción definitiva del objeto del contrato.</w:t>
      </w:r>
    </w:p>
    <w:p w:rsidR="00DD1311" w:rsidRDefault="00DD1311">
      <w:pPr>
        <w:pStyle w:val="Textoindependiente"/>
      </w:pPr>
    </w:p>
    <w:p w:rsidR="00DD1311" w:rsidRDefault="00EE4F36">
      <w:pPr>
        <w:pStyle w:val="Textoindependiente"/>
        <w:ind w:left="1" w:right="16"/>
        <w:jc w:val="both"/>
      </w:pPr>
      <w:r>
        <w:t>Durante la vigencia del soporte técnico, se tomarán las medidas correctivas necesarias para cumplir en las mismas condiciones requeridas en los Términos de r</w:t>
      </w:r>
      <w:r>
        <w:t>eferencia y pliegos.</w:t>
      </w:r>
    </w:p>
    <w:p w:rsidR="00DD1311" w:rsidRDefault="00DD1311">
      <w:pPr>
        <w:pStyle w:val="Textoindependiente"/>
      </w:pPr>
    </w:p>
    <w:p w:rsidR="00DD1311" w:rsidRDefault="00EE4F36">
      <w:pPr>
        <w:pStyle w:val="Textoindependiente"/>
        <w:ind w:left="1"/>
        <w:jc w:val="both"/>
      </w:pPr>
      <w:r>
        <w:rPr>
          <w:color w:val="000000"/>
          <w:highlight w:val="yellow"/>
        </w:rPr>
        <w:t>En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caso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arrendamiento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bienes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tecnológicos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(vigencia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tecnológica)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dejar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lo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siguiente:</w:t>
      </w:r>
    </w:p>
    <w:p w:rsidR="00DD1311" w:rsidRDefault="00DD1311">
      <w:pPr>
        <w:pStyle w:val="Textoindependiente"/>
      </w:pPr>
    </w:p>
    <w:p w:rsidR="00DD1311" w:rsidRDefault="00EE4F36">
      <w:pPr>
        <w:pStyle w:val="Textoindependiente"/>
        <w:ind w:left="1" w:right="14"/>
        <w:jc w:val="both"/>
      </w:pPr>
      <w:r>
        <w:rPr>
          <w:color w:val="000000"/>
          <w:highlight w:val="green"/>
        </w:rPr>
        <w:t>De acuerdo con lo señalado en el artículo 260.3 del RGLOSNCP la reposición de los bienes en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aplicación de la garantía técnica, ya sea por d</w:t>
      </w:r>
      <w:r>
        <w:rPr>
          <w:color w:val="000000"/>
          <w:highlight w:val="green"/>
        </w:rPr>
        <w:t>efecto de fábrica o por mal funcionamiento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durante su operación, podrá ser:</w:t>
      </w:r>
    </w:p>
    <w:p w:rsidR="00DD1311" w:rsidRDefault="00DD1311">
      <w:pPr>
        <w:pStyle w:val="Textoindependiente"/>
      </w:pPr>
    </w:p>
    <w:p w:rsidR="00DD1311" w:rsidRDefault="00EE4F36">
      <w:pPr>
        <w:pStyle w:val="Prrafodelista"/>
        <w:numPr>
          <w:ilvl w:val="0"/>
          <w:numId w:val="1"/>
        </w:numPr>
        <w:tabs>
          <w:tab w:val="left" w:pos="721"/>
        </w:tabs>
        <w:ind w:right="22"/>
        <w:jc w:val="both"/>
      </w:pPr>
      <w:r>
        <w:rPr>
          <w:color w:val="000000"/>
          <w:highlight w:val="green"/>
        </w:rPr>
        <w:t>Reposición temporal. - Comprende la entrega inmediata de un bien de las mismas o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mayores características o especificaciones técnicas hasta la reposición definitiva; y,</w:t>
      </w:r>
    </w:p>
    <w:p w:rsidR="00DD1311" w:rsidRDefault="00EE4F36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ind w:right="24"/>
        <w:jc w:val="both"/>
      </w:pPr>
      <w:r>
        <w:rPr>
          <w:color w:val="000000"/>
          <w:highlight w:val="green"/>
        </w:rPr>
        <w:t xml:space="preserve">Reposición </w:t>
      </w:r>
      <w:r>
        <w:rPr>
          <w:color w:val="000000"/>
          <w:highlight w:val="green"/>
        </w:rPr>
        <w:t>definitiva. - Operará en el caso en que el bien deba ser reemplazado por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uno nuevo de iguales o mayores características o especificaciones técnicas, siempre y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cuando no se trate de un daño derivado del mal uso u operación.</w:t>
      </w:r>
    </w:p>
    <w:p w:rsidR="00DD1311" w:rsidRDefault="00DD1311">
      <w:pPr>
        <w:pStyle w:val="Textoindependiente"/>
      </w:pPr>
    </w:p>
    <w:p w:rsidR="00DD1311" w:rsidRDefault="00EE4F36">
      <w:pPr>
        <w:pStyle w:val="Textoindependiente"/>
        <w:ind w:left="1"/>
      </w:pPr>
      <w:r>
        <w:rPr>
          <w:spacing w:val="-2"/>
        </w:rPr>
        <w:t>Atentamente,</w:t>
      </w:r>
    </w:p>
    <w:p w:rsidR="00DD1311" w:rsidRDefault="00DD1311">
      <w:pPr>
        <w:pStyle w:val="Textoindependiente"/>
        <w:spacing w:before="5"/>
      </w:pPr>
    </w:p>
    <w:p w:rsidR="00DD1311" w:rsidRDefault="00EE4F36">
      <w:pPr>
        <w:pStyle w:val="Ttulo1"/>
        <w:spacing w:line="800" w:lineRule="atLeast"/>
        <w:ind w:left="1" w:right="1834"/>
      </w:pPr>
      <w:r>
        <w:t>Firma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(Persona</w:t>
      </w:r>
      <w:r>
        <w:rPr>
          <w:spacing w:val="-10"/>
        </w:rPr>
        <w:t xml:space="preserve"> </w:t>
      </w:r>
      <w:r>
        <w:t xml:space="preserve">Jurídica) </w:t>
      </w:r>
      <w:r>
        <w:rPr>
          <w:spacing w:val="-2"/>
        </w:rPr>
        <w:t>Nota:</w:t>
      </w:r>
    </w:p>
    <w:p w:rsidR="00DD1311" w:rsidRDefault="00EE4F36">
      <w:pPr>
        <w:pStyle w:val="Prrafodelista"/>
        <w:numPr>
          <w:ilvl w:val="1"/>
          <w:numId w:val="1"/>
        </w:numPr>
        <w:tabs>
          <w:tab w:val="left" w:pos="721"/>
        </w:tabs>
        <w:spacing w:before="6"/>
      </w:pPr>
      <w:r>
        <w:t>De conformidad a lo establecido en el artículo</w:t>
      </w:r>
      <w:r>
        <w:rPr>
          <w:spacing w:val="-4"/>
        </w:rPr>
        <w:t xml:space="preserve"> </w:t>
      </w:r>
      <w:r>
        <w:t>260.2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 Orgánica del Sistema Nacional de Contratación, se establece que, en caso de incumplimiento de las obligacio</w:t>
      </w:r>
      <w:r>
        <w:t>nes derivadas de la garantía técnica, la ESPOL podrá declarar al contratista como incumplido de conformidad con los artículos 19, numeral 1, y 98 de la Ley Orgánica del Sistema Nacional de Contratación Pública.</w:t>
      </w:r>
    </w:p>
    <w:sectPr w:rsidR="00DD1311">
      <w:type w:val="continuous"/>
      <w:pgSz w:w="11920" w:h="16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809C1"/>
    <w:multiLevelType w:val="hybridMultilevel"/>
    <w:tmpl w:val="C8945B6C"/>
    <w:lvl w:ilvl="0" w:tplc="C6E27AB0">
      <w:start w:val="1"/>
      <w:numFmt w:val="lowerLetter"/>
      <w:lvlText w:val="%1)"/>
      <w:lvlJc w:val="left"/>
      <w:pPr>
        <w:ind w:left="7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00FF00"/>
        <w:lang w:val="es-ES" w:eastAsia="en-US" w:bidi="ar-SA"/>
      </w:rPr>
    </w:lvl>
    <w:lvl w:ilvl="1" w:tplc="245646CA">
      <w:numFmt w:val="bullet"/>
      <w:lvlText w:val="●"/>
      <w:lvlJc w:val="left"/>
      <w:pPr>
        <w:ind w:left="72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128C29E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3" w:tplc="A9D6E8AC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4" w:tplc="C0344054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 w:tplc="2F24EE80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6" w:tplc="56B2436E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2F4CFA4C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8" w:tplc="02F26224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11"/>
    <w:rsid w:val="00DD1311"/>
    <w:rsid w:val="00E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46234-9818-4314-89BB-CD9CC503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right="1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21" w:right="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SOPORTE TÉCNICO.docx</vt:lpstr>
    </vt:vector>
  </TitlesOfParts>
  <Company>ESPOL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SOPORTE TÉCNICO.docx</dc:title>
  <dc:creator>Maria Gabriela Cobos Macas</dc:creator>
  <cp:lastModifiedBy>Maria Gabriela Cobos Macas</cp:lastModifiedBy>
  <cp:revision>2</cp:revision>
  <dcterms:created xsi:type="dcterms:W3CDTF">2025-08-22T20:40:00Z</dcterms:created>
  <dcterms:modified xsi:type="dcterms:W3CDTF">2025-08-22T20:40:00Z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2025-08-22T00:00:00Z</vt:filetime>
  </property>
</Properties>
</file>