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Fecha de elaboración: Días-mes-año</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ind w:left="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ESPECIFICACIONES TÉCNICAS </w:t>
      </w:r>
    </w:p>
    <w:p w:rsidR="00000000" w:rsidDel="00000000" w:rsidP="00000000" w:rsidRDefault="00000000" w:rsidRPr="00000000" w14:paraId="00000004">
      <w:pPr>
        <w:pStyle w:val="Heading1"/>
        <w:ind w:left="0" w:firstLine="0"/>
        <w:jc w:val="center"/>
        <w:rPr>
          <w:rFonts w:ascii="Calibri" w:cs="Calibri" w:eastAsia="Calibri" w:hAnsi="Calibri"/>
          <w:sz w:val="22"/>
          <w:szCs w:val="22"/>
        </w:rPr>
      </w:pPr>
      <w:bookmarkStart w:colFirst="0" w:colLast="0" w:name="_heading=h.gmkrt4oxn0s5" w:id="0"/>
      <w:bookmarkEnd w:id="0"/>
      <w:r w:rsidDel="00000000" w:rsidR="00000000" w:rsidRPr="00000000">
        <w:rPr>
          <w:rFonts w:ascii="Calibri" w:cs="Calibri" w:eastAsia="Calibri" w:hAnsi="Calibri"/>
          <w:sz w:val="22"/>
          <w:szCs w:val="22"/>
          <w:rtl w:val="0"/>
        </w:rPr>
        <w:t xml:space="preserve">IMPORTACIÓN HASTA EL VALOR DE LA ÍNFIMA CUANTÍA</w:t>
      </w:r>
    </w:p>
    <w:p w:rsidR="00000000" w:rsidDel="00000000" w:rsidP="00000000" w:rsidRDefault="00000000" w:rsidRPr="00000000" w14:paraId="00000005">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BIEN</w:t>
      </w:r>
    </w:p>
    <w:p w:rsidR="00000000" w:rsidDel="00000000" w:rsidP="00000000" w:rsidRDefault="00000000" w:rsidRPr="00000000" w14:paraId="00000006">
      <w:pPr>
        <w:pStyle w:val="Heading3"/>
        <w:spacing w:before="268" w:lineRule="auto"/>
        <w:ind w:left="0" w:firstLine="0"/>
        <w:rPr>
          <w:rFonts w:ascii="Calibri" w:cs="Calibri" w:eastAsia="Calibri" w:hAnsi="Calibri"/>
        </w:rPr>
      </w:pPr>
      <w:r w:rsidDel="00000000" w:rsidR="00000000" w:rsidRPr="00000000">
        <w:rPr>
          <w:rFonts w:ascii="Calibri" w:cs="Calibri" w:eastAsia="Calibri" w:hAnsi="Calibri"/>
          <w:rtl w:val="0"/>
        </w:rPr>
        <w:t xml:space="preserve">NOTAS: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 resaltado en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verde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corresponde a la información que cada requirente debe indicar en función de cada proceso de contratación.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 resaltado en </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amarillo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corresponde a la base legal que sustenta cada numeral para conocimiento de las áreas requirentes, por lo que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este texto no deberá constar en el documento final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3"/>
        <w:numPr>
          <w:ilvl w:val="0"/>
          <w:numId w:val="3"/>
        </w:numPr>
        <w:tabs>
          <w:tab w:val="left" w:leader="none" w:pos="1734"/>
        </w:tabs>
        <w:ind w:left="567" w:hanging="567"/>
        <w:rPr>
          <w:rFonts w:ascii="Calibri" w:cs="Calibri" w:eastAsia="Calibri" w:hAnsi="Calibri"/>
        </w:rPr>
      </w:pPr>
      <w:r w:rsidDel="00000000" w:rsidR="00000000" w:rsidRPr="00000000">
        <w:rPr>
          <w:rFonts w:ascii="Calibri" w:cs="Calibri" w:eastAsia="Calibri" w:hAnsi="Calibri"/>
          <w:rtl w:val="0"/>
        </w:rPr>
        <w:t xml:space="preserve">OBJETO DE LA CONTRATACIÓN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XXXXXXXXXXXXXXXXXXXXXXXXXXXXXXXXXXXXXXXXXXXXXXXXXXXXXXXXXXXXXXXXXXXXXXXXXXXXXXXX</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Es importante indicar que el objeto de contratación debe ser igual al que en el informe de necesidad.</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3"/>
        <w:numPr>
          <w:ilvl w:val="0"/>
          <w:numId w:val="3"/>
        </w:numPr>
        <w:tabs>
          <w:tab w:val="left" w:leader="none" w:pos="1734"/>
        </w:tabs>
        <w:ind w:left="567" w:hanging="567"/>
        <w:rPr>
          <w:rFonts w:ascii="Calibri" w:cs="Calibri" w:eastAsia="Calibri" w:hAnsi="Calibri"/>
        </w:rPr>
      </w:pPr>
      <w:r w:rsidDel="00000000" w:rsidR="00000000" w:rsidRPr="00000000">
        <w:rPr>
          <w:rFonts w:ascii="Calibri" w:cs="Calibri" w:eastAsia="Calibri" w:hAnsi="Calibri"/>
          <w:rtl w:val="0"/>
        </w:rPr>
        <w:t xml:space="preserve">JUSTIFICACIÓN TECNICA DEL OBJETO DE CONTRATACIÓN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6"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ha determinado este objeto de contratación con base en los bienes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requeridos en el numeral 10, los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cuales guardan una relación o vinculación razonable acorde a las necesidades institucionales</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3"/>
        <w:numPr>
          <w:ilvl w:val="0"/>
          <w:numId w:val="3"/>
        </w:numPr>
        <w:tabs>
          <w:tab w:val="left" w:leader="none" w:pos="1734"/>
        </w:tabs>
        <w:ind w:left="567" w:hanging="567"/>
        <w:rPr>
          <w:rFonts w:ascii="Calibri" w:cs="Calibri" w:eastAsia="Calibri" w:hAnsi="Calibri"/>
        </w:rPr>
      </w:pPr>
      <w:r w:rsidDel="00000000" w:rsidR="00000000" w:rsidRPr="00000000">
        <w:rPr>
          <w:rFonts w:ascii="Calibri" w:cs="Calibri" w:eastAsia="Calibri" w:hAnsi="Calibri"/>
          <w:rtl w:val="0"/>
        </w:rPr>
        <w:t xml:space="preserve">CÓDIGO CLASIFICADOR CENTRAL DE PRODUCTOS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ha realizado la búsqueda del código de clasificador central de productos aplicable para este objeto de contratación y en función del estudio de mercado, se establece que el CPC a utilizar en esta contratación 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00.0" w:type="dxa"/>
        <w:jc w:val="left"/>
        <w:tblInd w:w="-29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100"/>
        <w:gridCol w:w="7200"/>
        <w:tblGridChange w:id="0">
          <w:tblGrid>
            <w:gridCol w:w="2100"/>
            <w:gridCol w:w="7200"/>
          </w:tblGrid>
        </w:tblGridChange>
      </w:tblGrid>
      <w:tr>
        <w:trPr>
          <w:cantSplit w:val="0"/>
          <w:trHeight w:val="280" w:hRule="atLeast"/>
          <w:tblHeader w:val="0"/>
        </w:trPr>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2"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CODIGO</w:t>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2"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w:t>
            </w:r>
          </w:p>
        </w:tc>
      </w:tr>
      <w:tr>
        <w:trPr>
          <w:cantSplit w:val="0"/>
          <w:trHeight w:val="259" w:hRule="atLeast"/>
          <w:tblHeader w:val="0"/>
        </w:trPr>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8"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XXXXXXXXX (nivel 9)</w:t>
            </w:r>
            <w:r w:rsidDel="00000000" w:rsidR="00000000" w:rsidRPr="00000000">
              <w:rPr>
                <w:rtl w:val="0"/>
              </w:rPr>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38"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XXXXXXXXXXXXXXXXXXXXXXX</w:t>
            </w: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CPC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no/sí</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 encuentra restringido</w:t>
      </w:r>
    </w:p>
    <w:p w:rsidR="00000000" w:rsidDel="00000000" w:rsidP="00000000" w:rsidRDefault="00000000" w:rsidRPr="00000000" w14:paraId="00000020">
      <w:pPr>
        <w:spacing w:before="1" w:line="249" w:lineRule="auto"/>
        <w:rPr>
          <w:rFonts w:ascii="Calibri" w:cs="Calibri" w:eastAsia="Calibri" w:hAnsi="Calibri"/>
        </w:rPr>
      </w:pPr>
      <w:hyperlink r:id="rId7">
        <w:r w:rsidDel="00000000" w:rsidR="00000000" w:rsidRPr="00000000">
          <w:rPr>
            <w:rFonts w:ascii="Calibri" w:cs="Calibri" w:eastAsia="Calibri" w:hAnsi="Calibri"/>
            <w:color w:val="0462c1"/>
            <w:u w:val="single"/>
            <w:rtl w:val="0"/>
          </w:rPr>
          <w:t xml:space="preserve">https://www.compraspublicas.gob.ec/ProcesoContratacion/compras/RCC/RccFrmBusca</w:t>
        </w:r>
      </w:hyperlink>
      <w:r w:rsidDel="00000000" w:rsidR="00000000" w:rsidRPr="00000000">
        <w:rPr>
          <w:rFonts w:ascii="Calibri" w:cs="Calibri" w:eastAsia="Calibri" w:hAnsi="Calibri"/>
          <w:color w:val="0462c1"/>
          <w:rtl w:val="0"/>
        </w:rPr>
        <w:t xml:space="preserve"> </w:t>
      </w:r>
      <w:hyperlink r:id="rId8">
        <w:r w:rsidDel="00000000" w:rsidR="00000000" w:rsidRPr="00000000">
          <w:rPr>
            <w:rFonts w:ascii="Calibri" w:cs="Calibri" w:eastAsia="Calibri" w:hAnsi="Calibri"/>
            <w:color w:val="0462c1"/>
            <w:u w:val="single"/>
            <w:rtl w:val="0"/>
          </w:rPr>
          <w:t xml:space="preserve">rCpcEnCatalogo.cpe</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(pegar la captura de pantalla de la búsqueda)</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734"/>
        </w:tabs>
        <w:spacing w:after="0" w:before="0" w:line="240" w:lineRule="auto"/>
        <w:ind w:left="709" w:right="0" w:hanging="719"/>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BASE LEGAL</w:t>
      </w:r>
    </w:p>
    <w:p w:rsidR="00000000" w:rsidDel="00000000" w:rsidP="00000000" w:rsidRDefault="00000000" w:rsidRPr="00000000" w14:paraId="00000024">
      <w:pPr>
        <w:tabs>
          <w:tab w:val="left" w:leader="none" w:pos="1734"/>
        </w:tabs>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5">
      <w:pPr>
        <w:pStyle w:val="Heading1"/>
        <w:spacing w:before="123" w:lineRule="auto"/>
        <w:ind w:left="0" w:right="71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REGLAMENTO GENERAL A LA LEY ORGÁNICA DEL SISTEMA NACIONAL DE CONTRATACIÓN PÚBLICA</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44"/>
        </w:tabs>
        <w:spacing w:after="0" w:before="0" w:line="240" w:lineRule="auto"/>
        <w:ind w:left="0" w:right="720" w:firstLine="0"/>
        <w:jc w:val="right"/>
        <w:rPr>
          <w:rFonts w:ascii="Calibri" w:cs="Calibri" w:eastAsia="Calibri" w:hAnsi="Calibri"/>
          <w:b w:val="0"/>
          <w:bCs w:val="0"/>
          <w:i w:val="1"/>
          <w:iCs w:val="1"/>
          <w:smallCaps w:val="0"/>
          <w:strike w:val="0"/>
          <w:color w:val="000000"/>
          <w:sz w:val="22"/>
          <w:szCs w:val="22"/>
          <w:u w:val="none"/>
          <w:shd w:fill="auto" w:val="clear"/>
          <w:vertAlign w:val="baseline"/>
        </w:rPr>
      </w:pPr>
      <w:bookmarkStart w:colFirst="0" w:colLast="0" w:name="_heading=h.d4mk4soaf0ao" w:id="1"/>
      <w:bookmarkEnd w:id="1"/>
      <w:r w:rsidDel="00000000" w:rsidR="00000000" w:rsidRPr="00000000">
        <w:rPr>
          <w:rtl w:val="0"/>
        </w:rPr>
      </w:r>
    </w:p>
    <w:p w:rsidR="00000000" w:rsidDel="00000000" w:rsidP="00000000" w:rsidRDefault="00000000" w:rsidRPr="00000000" w14:paraId="00000027">
      <w:pPr>
        <w:tabs>
          <w:tab w:val="left" w:leader="none" w:pos="1734"/>
        </w:tabs>
        <w:jc w:val="both"/>
        <w:rPr>
          <w:rFonts w:ascii="Calibri" w:cs="Calibri" w:eastAsia="Calibri" w:hAnsi="Calibri"/>
          <w:i w:val="1"/>
          <w:iCs w:val="1"/>
        </w:rPr>
      </w:pPr>
      <w:bookmarkStart w:colFirst="0" w:colLast="0" w:name="_heading=h.uj6oqlkdb9ki" w:id="2"/>
      <w:bookmarkEnd w:id="2"/>
      <w:r w:rsidDel="00000000" w:rsidR="00000000" w:rsidRPr="00000000">
        <w:rPr>
          <w:rFonts w:ascii="Calibri" w:cs="Calibri" w:eastAsia="Calibri" w:hAnsi="Calibri"/>
          <w:i w:val="1"/>
          <w:iCs w:val="1"/>
          <w:rtl w:val="0"/>
        </w:rPr>
        <w:t xml:space="preserve">“Art. 6 Adquisición a través de importación. - Para la adquisición de bienes, y que las entidades contratantes vayan a importar directamente, o para la contratación de servicios en el exterior a ejecutarse en territorio nacional, será necesario que la entidad realice previamente el trámite de verificación de producción nacional (VPN), conforme lo dispuesto en el presente Reglamento. Para el caso previsto en el numeral 2 del artículo 38 de la Ley Orgánica del Sistema Nacional de Contratación Pública, no será necesaria la verificación de producción nacional.</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13" w:hanging="22"/>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13" w:hanging="22"/>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El Servicio Nacional de Contratación Pública emitirá mediante resolución motivada un listado de bienes y servicios categorizados por CPCs, que no tienen producción nacional registrada en la contratación pública. Los bienes o servicios que son parte de este listado se exceptuarán del proceso de verificación de producción nacional, pero será obligatorio realizar el trámite de solicitud de autorización de licencias de importación, según corresponda.</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13" w:hanging="22"/>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13" w:hanging="22"/>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En el caso de bienes, una vez que se realice la adquisición en el extranjero, se tramitará la solicitud de autorización de licencias de importación a través de la Ventanilla Única Ecuatoriana, mediante el uso del sistema ECUAPASS del Servicio Nacional de Aduana del Ecuador.</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13" w:hanging="22"/>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13" w:hanging="22"/>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La correcta aplicación de este artículo será de exclusiva responsabilidad de la entidad contratante y estará sujeto al control y verificación del Servicio Nacional de Contratación Pública, de conformidad con la normativa que se emita para tal efecto, De detectarse el mal uso de esta disposición, se podrá negar la autorización de la licencia en cualquier momento.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13" w:hanging="22"/>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tabs>
          <w:tab w:val="left" w:leader="none" w:pos="993"/>
        </w:tabs>
        <w:ind w:right="13"/>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Para el caso de los bienes establecidos en el numeral 2 del artículo 38 de la LOSNCP, no se sujetarán al proceso de solicitud de autorización de licencias de importación a través de la Ventanilla Única Ecuatoriana. Para estos casos, el Servicio Nacional de Aduana del Ecuador, en coordinación con el Servicio Nacional de Contratación Pública, emitirá las regulaciones necesarias.”</w:t>
      </w:r>
    </w:p>
    <w:p w:rsidR="00000000" w:rsidDel="00000000" w:rsidP="00000000" w:rsidRDefault="00000000" w:rsidRPr="00000000" w14:paraId="00000030">
      <w:pPr>
        <w:tabs>
          <w:tab w:val="left" w:leader="none" w:pos="993"/>
        </w:tabs>
        <w:ind w:right="13"/>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31">
      <w:pPr>
        <w:tabs>
          <w:tab w:val="left" w:leader="none" w:pos="993"/>
        </w:tabs>
        <w:ind w:right="13"/>
        <w:jc w:val="both"/>
        <w:rPr>
          <w:rFonts w:ascii="Calibri" w:cs="Calibri" w:eastAsia="Calibri" w:hAnsi="Calibri"/>
          <w:i w:val="1"/>
          <w:iCs w:val="1"/>
          <w:u w:val="single"/>
        </w:rPr>
      </w:pPr>
      <w:r w:rsidDel="00000000" w:rsidR="00000000" w:rsidRPr="00000000">
        <w:rPr>
          <w:rFonts w:ascii="Calibri" w:cs="Calibri" w:eastAsia="Calibri" w:hAnsi="Calibri"/>
          <w:i w:val="1"/>
          <w:iCs w:val="1"/>
          <w:u w:val="single"/>
          <w:rtl w:val="0"/>
        </w:rPr>
        <w:t xml:space="preserve">“Art. 9.- Excepción de Verificación de Producción Nacional. - Se exceptúan del procedimiento de verificación de producción nacional, los siguientes casos:</w:t>
      </w:r>
    </w:p>
    <w:p w:rsidR="00000000" w:rsidDel="00000000" w:rsidP="00000000" w:rsidRDefault="00000000" w:rsidRPr="00000000" w14:paraId="00000032">
      <w:pPr>
        <w:tabs>
          <w:tab w:val="left" w:leader="none" w:pos="993"/>
        </w:tabs>
        <w:ind w:right="13"/>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033">
      <w:pPr>
        <w:tabs>
          <w:tab w:val="left" w:leader="none" w:pos="993"/>
        </w:tabs>
        <w:ind w:right="13"/>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1. Investigación científica: Los realizados por las universidades; </w:t>
      </w:r>
      <w:r w:rsidDel="00000000" w:rsidR="00000000" w:rsidRPr="00000000">
        <w:rPr>
          <w:rFonts w:ascii="Calibri" w:cs="Calibri" w:eastAsia="Calibri" w:hAnsi="Calibri"/>
          <w:i w:val="1"/>
          <w:iCs w:val="1"/>
          <w:u w:val="single"/>
          <w:rtl w:val="0"/>
        </w:rPr>
        <w:t xml:space="preserve">escuelas politécnicas públicas</w:t>
      </w:r>
      <w:r w:rsidDel="00000000" w:rsidR="00000000" w:rsidRPr="00000000">
        <w:rPr>
          <w:rFonts w:ascii="Calibri" w:cs="Calibri" w:eastAsia="Calibri" w:hAnsi="Calibri"/>
          <w:i w:val="1"/>
          <w:iCs w:val="1"/>
          <w:rtl w:val="0"/>
        </w:rPr>
        <w:t xml:space="preserve">; institutos superiores técnicos, tecnológicos, pedagógicos, de artes públicos y conservatorios superiores públicos; y, los institutos públicos de investigación para adquirir bienes y/o servicios en el extranjero a través de compras en línea o tiendas virtuales </w:t>
      </w:r>
      <w:r w:rsidDel="00000000" w:rsidR="00000000" w:rsidRPr="00000000">
        <w:rPr>
          <w:rFonts w:ascii="Calibri" w:cs="Calibri" w:eastAsia="Calibri" w:hAnsi="Calibri"/>
          <w:i w:val="1"/>
          <w:iCs w:val="1"/>
          <w:u w:val="single"/>
          <w:rtl w:val="0"/>
        </w:rPr>
        <w:t xml:space="preserve">por medio de ínfima cuantía</w:t>
      </w:r>
      <w:r w:rsidDel="00000000" w:rsidR="00000000" w:rsidRPr="00000000">
        <w:rPr>
          <w:rFonts w:ascii="Calibri" w:cs="Calibri" w:eastAsia="Calibri" w:hAnsi="Calibri"/>
          <w:i w:val="1"/>
          <w:iCs w:val="1"/>
          <w:rtl w:val="0"/>
        </w:rPr>
        <w:t xml:space="preserve">;</w:t>
      </w:r>
    </w:p>
    <w:p w:rsidR="00000000" w:rsidDel="00000000" w:rsidP="00000000" w:rsidRDefault="00000000" w:rsidRPr="00000000" w14:paraId="00000034">
      <w:pPr>
        <w:tabs>
          <w:tab w:val="left" w:leader="none" w:pos="993"/>
        </w:tabs>
        <w:ind w:right="13"/>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2. Las contrataciones realizadas bajo el régimen especial previsto en el numeral 2 del artículo 38 de la Ley Orgánica del Sistema Nacional de Contratación Pública; en los cuales tampoco será necesario, para el caso de bienes, realizar el proceso de solicitud de autorización de licencias de importación a través de la Ventanilla Única Ecuatoriana;</w:t>
      </w:r>
    </w:p>
    <w:p w:rsidR="00000000" w:rsidDel="00000000" w:rsidP="00000000" w:rsidRDefault="00000000" w:rsidRPr="00000000" w14:paraId="00000035">
      <w:pPr>
        <w:tabs>
          <w:tab w:val="left" w:leader="none" w:pos="993"/>
        </w:tabs>
        <w:ind w:right="13"/>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3. Adquisición de software, según la prelación establecida por el órgano rector de telecomunicaciones;</w:t>
      </w:r>
    </w:p>
    <w:p w:rsidR="00000000" w:rsidDel="00000000" w:rsidP="00000000" w:rsidRDefault="00000000" w:rsidRPr="00000000" w14:paraId="00000036">
      <w:pPr>
        <w:tabs>
          <w:tab w:val="left" w:leader="none" w:pos="993"/>
        </w:tabs>
        <w:ind w:right="13"/>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4. Los bienes y servicios categorizados por CPC que constarán en el listado que el SERCOP emita para</w:t>
      </w:r>
    </w:p>
    <w:p w:rsidR="00000000" w:rsidDel="00000000" w:rsidP="00000000" w:rsidRDefault="00000000" w:rsidRPr="00000000" w14:paraId="00000037">
      <w:pPr>
        <w:tabs>
          <w:tab w:val="left" w:leader="none" w:pos="993"/>
        </w:tabs>
        <w:ind w:right="13"/>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el efecto; y,</w:t>
      </w:r>
    </w:p>
    <w:p w:rsidR="00000000" w:rsidDel="00000000" w:rsidP="00000000" w:rsidRDefault="00000000" w:rsidRPr="00000000" w14:paraId="00000038">
      <w:pPr>
        <w:tabs>
          <w:tab w:val="left" w:leader="none" w:pos="993"/>
        </w:tabs>
        <w:ind w:right="13"/>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5. Los procedimientos de contratación que consten excepcionados en la Ley.”</w:t>
      </w:r>
    </w:p>
    <w:p w:rsidR="00000000" w:rsidDel="00000000" w:rsidP="00000000" w:rsidRDefault="00000000" w:rsidRPr="00000000" w14:paraId="00000039">
      <w:pPr>
        <w:pStyle w:val="Heading3"/>
        <w:numPr>
          <w:ilvl w:val="0"/>
          <w:numId w:val="3"/>
        </w:numPr>
        <w:tabs>
          <w:tab w:val="left" w:leader="none" w:pos="1734"/>
        </w:tabs>
        <w:spacing w:before="241" w:lineRule="auto"/>
        <w:ind w:left="567" w:hanging="567"/>
        <w:rPr>
          <w:rFonts w:ascii="Calibri" w:cs="Calibri" w:eastAsia="Calibri" w:hAnsi="Calibri"/>
        </w:rPr>
      </w:pPr>
      <w:r w:rsidDel="00000000" w:rsidR="00000000" w:rsidRPr="00000000">
        <w:rPr>
          <w:rFonts w:ascii="Calibri" w:cs="Calibri" w:eastAsia="Calibri" w:hAnsi="Calibri"/>
          <w:rtl w:val="0"/>
        </w:rPr>
        <w:t xml:space="preserve">ANTECEDENTES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Resumen del literal a) del numeral 3 (Situación actual) del informe de necesidad.</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3"/>
        <w:numPr>
          <w:ilvl w:val="0"/>
          <w:numId w:val="3"/>
        </w:numPr>
        <w:tabs>
          <w:tab w:val="left" w:leader="none" w:pos="142"/>
          <w:tab w:val="left" w:leader="none" w:pos="1734"/>
        </w:tabs>
        <w:ind w:left="567" w:hanging="567"/>
        <w:jc w:val="both"/>
        <w:rPr>
          <w:rFonts w:ascii="Calibri" w:cs="Calibri" w:eastAsia="Calibri" w:hAnsi="Calibri"/>
        </w:rPr>
      </w:pPr>
      <w:r w:rsidDel="00000000" w:rsidR="00000000" w:rsidRPr="00000000">
        <w:rPr>
          <w:rFonts w:ascii="Calibri" w:cs="Calibri" w:eastAsia="Calibri" w:hAnsi="Calibri"/>
          <w:rtl w:val="0"/>
        </w:rPr>
        <w:t xml:space="preserve">OBJETIVOS</w:t>
      </w:r>
    </w:p>
    <w:p w:rsidR="00000000" w:rsidDel="00000000" w:rsidP="00000000" w:rsidRDefault="00000000" w:rsidRPr="00000000" w14:paraId="0000003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343"/>
        </w:tabs>
        <w:spacing w:after="0" w:before="122" w:line="240" w:lineRule="auto"/>
        <w:ind w:left="567" w:right="0" w:hanging="328"/>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Objetivo General – de ser el caso</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343"/>
        </w:tabs>
        <w:spacing w:after="0" w:before="0" w:line="240" w:lineRule="auto"/>
        <w:ind w:left="567" w:right="0" w:hanging="328"/>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Objetivo Específico - de ser el caso</w:t>
      </w:r>
    </w:p>
    <w:p w:rsidR="00000000" w:rsidDel="00000000" w:rsidP="00000000" w:rsidRDefault="00000000" w:rsidRPr="00000000" w14:paraId="00000041">
      <w:pPr>
        <w:widowControl w:val="1"/>
        <w:pBdr>
          <w:top w:space="0" w:sz="0" w:val="nil"/>
          <w:left w:space="0" w:sz="0" w:val="nil"/>
          <w:bottom w:space="0" w:sz="0" w:val="nil"/>
          <w:right w:space="0" w:sz="0" w:val="nil"/>
          <w:between w:space="0" w:sz="0" w:val="nil"/>
        </w:pBdr>
        <w:tabs>
          <w:tab w:val="left" w:leader="none" w:pos="142"/>
        </w:tabs>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0" w:before="0" w:line="240" w:lineRule="auto"/>
        <w:ind w:left="567" w:right="0" w:hanging="567"/>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ALCANCE </w:t>
      </w:r>
      <w:r w:rsidDel="00000000" w:rsidR="00000000" w:rsidRPr="00000000">
        <w:rPr>
          <w:rFonts w:ascii="Calibri" w:cs="Calibri" w:eastAsia="Calibri" w:hAnsi="Calibri"/>
          <w:b w:val="1"/>
          <w:bCs w:val="1"/>
          <w:i w:val="0"/>
          <w:iCs w:val="0"/>
          <w:smallCaps w:val="0"/>
          <w:strike w:val="0"/>
          <w:color w:val="000000"/>
          <w:sz w:val="22"/>
          <w:szCs w:val="22"/>
          <w:highlight w:val="yellow"/>
          <w:u w:val="none"/>
          <w:vertAlign w:val="baseline"/>
          <w:rtl w:val="0"/>
        </w:rPr>
        <w:t xml:space="preserve">(¿hasta dónde?)</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98"/>
        </w:tabs>
        <w:spacing w:after="0" w:before="0" w:line="240" w:lineRule="auto"/>
        <w:ind w:left="56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98"/>
        </w:tabs>
        <w:spacing w:after="0" w:before="0" w:line="240" w:lineRule="auto"/>
        <w:ind w:left="567" w:right="0" w:hanging="567"/>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METODOLOGÍA DE TRABAJO (¿cómo debe trabajar el proveedor para la entrega del bien?)</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Detallar cronológicamente las actividades que debe realizar el proveedor para la entrega del bien.</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pStyle w:val="Heading3"/>
        <w:numPr>
          <w:ilvl w:val="0"/>
          <w:numId w:val="3"/>
        </w:numPr>
        <w:tabs>
          <w:tab w:val="left" w:leader="none" w:pos="1298"/>
        </w:tabs>
        <w:ind w:left="567" w:hanging="567"/>
        <w:rPr>
          <w:rFonts w:ascii="Calibri" w:cs="Calibri" w:eastAsia="Calibri" w:hAnsi="Calibri"/>
        </w:rPr>
      </w:pPr>
      <w:r w:rsidDel="00000000" w:rsidR="00000000" w:rsidRPr="00000000">
        <w:rPr>
          <w:rFonts w:ascii="Calibri" w:cs="Calibri" w:eastAsia="Calibri" w:hAnsi="Calibri"/>
          <w:rtl w:val="0"/>
        </w:rPr>
        <w:t xml:space="preserve">INFORMACION QUE DISPONE LA ENTIDAD</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No/Si aplica</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Por ejemplo: Si se requiere adquirir insumos o repuesto de un bien, la información que posee Espol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podría ser: Marca, modelo, serie, código de inventario, etc.</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433"/>
        </w:tabs>
        <w:spacing w:after="0" w:before="0" w:line="240" w:lineRule="auto"/>
        <w:ind w:left="567" w:right="0" w:hanging="567"/>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ESPECIFICACIONES TÉCNICAS DE LOS BIENES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462.0" w:type="dxa"/>
        <w:jc w:val="left"/>
        <w:tblInd w:w="-29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0"/>
        <w:gridCol w:w="1560"/>
        <w:gridCol w:w="4660"/>
        <w:gridCol w:w="1162"/>
        <w:gridCol w:w="1240"/>
        <w:tblGridChange w:id="0">
          <w:tblGrid>
            <w:gridCol w:w="840"/>
            <w:gridCol w:w="1560"/>
            <w:gridCol w:w="4660"/>
            <w:gridCol w:w="1162"/>
            <w:gridCol w:w="1240"/>
          </w:tblGrid>
        </w:tblGridChange>
      </w:tblGrid>
      <w:tr>
        <w:trPr>
          <w:cantSplit w:val="0"/>
          <w:trHeight w:val="520" w:hRule="atLeast"/>
          <w:tblHeader w:val="0"/>
        </w:trPr>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ítem</w:t>
            </w:r>
          </w:p>
        </w:tc>
        <w:tc>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CPC</w:t>
            </w:r>
          </w:p>
        </w:tc>
        <w:tc>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bien</w:t>
            </w:r>
          </w:p>
        </w:tc>
        <w:tc>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4"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Cantidad</w:t>
            </w:r>
          </w:p>
        </w:tc>
        <w:tc>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Unidad</w:t>
            </w:r>
          </w:p>
        </w:tc>
      </w:tr>
      <w:tr>
        <w:trPr>
          <w:cantSplit w:val="0"/>
          <w:trHeight w:val="239" w:hRule="atLeast"/>
          <w:tblHeader w:val="0"/>
        </w:trPr>
        <w:tc>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ind w:right="710"/>
        <w:jc w:val="both"/>
        <w:rPr>
          <w:rFonts w:ascii="Calibri" w:cs="Calibri" w:eastAsia="Calibri" w:hAnsi="Calibri"/>
          <w:i w:val="1"/>
          <w:iCs w:val="1"/>
          <w:color w:val="000000"/>
          <w:highlight w:val="yellow"/>
        </w:rPr>
      </w:pPr>
      <w:r w:rsidDel="00000000" w:rsidR="00000000" w:rsidRPr="00000000">
        <w:rPr>
          <w:rFonts w:ascii="Calibri" w:cs="Calibri" w:eastAsia="Calibri" w:hAnsi="Calibri"/>
          <w:i w:val="1"/>
          <w:iCs w:val="1"/>
          <w:color w:val="000000"/>
          <w:highlight w:val="yellow"/>
          <w:rtl w:val="0"/>
        </w:rPr>
        <w:t xml:space="preserve">RGLONSCP:” Art. 77 Especificaciones técnicas. - Para la elaboración de las especificaciones técnicas se considerará lo siguiente: Deben ser claras, completas e inequívocas; no deben presentar ambigüedades, ni contradicciones que puedan propiciar diferentes interpretaciones en una misma disposición, ni indicaciones parciales.</w:t>
      </w:r>
    </w:p>
    <w:p w:rsidR="00000000" w:rsidDel="00000000" w:rsidP="00000000" w:rsidRDefault="00000000" w:rsidRPr="00000000" w14:paraId="00000061">
      <w:pPr>
        <w:ind w:right="710"/>
        <w:jc w:val="both"/>
        <w:rPr>
          <w:rFonts w:ascii="Calibri" w:cs="Calibri" w:eastAsia="Calibri" w:hAnsi="Calibri"/>
          <w:i w:val="1"/>
          <w:iCs w:val="1"/>
          <w:color w:val="000000"/>
          <w:highlight w:val="yellow"/>
        </w:rPr>
      </w:pPr>
      <w:r w:rsidDel="00000000" w:rsidR="00000000" w:rsidRPr="00000000">
        <w:rPr>
          <w:rFonts w:ascii="Calibri" w:cs="Calibri" w:eastAsia="Calibri" w:hAnsi="Calibri"/>
          <w:i w:val="1"/>
          <w:iCs w:val="1"/>
          <w:color w:val="000000"/>
          <w:highlight w:val="yellow"/>
          <w:rtl w:val="0"/>
        </w:rPr>
        <w:t xml:space="preserve">1. Para el caso de bienes, se establecerán en función de las propiedades de su uso y empleo, así como de sus características fundamentales, requisitos funcionales o tecnológicos, atendiendo los conceptos de capacidad, calidad y/o rendimiento, y de sostenibilidad en lo que fuera aplicable, para los que, de existir, se utilizarán rasgos técnicos, requisitos, símbolos y términos estandarizados;</w:t>
      </w:r>
    </w:p>
    <w:p w:rsidR="00000000" w:rsidDel="00000000" w:rsidP="00000000" w:rsidRDefault="00000000" w:rsidRPr="00000000" w14:paraId="00000062">
      <w:pPr>
        <w:ind w:right="710"/>
        <w:jc w:val="both"/>
        <w:rPr>
          <w:rFonts w:ascii="Calibri" w:cs="Calibri" w:eastAsia="Calibri" w:hAnsi="Calibri"/>
          <w:i w:val="1"/>
          <w:iCs w:val="1"/>
          <w:color w:val="000000"/>
          <w:highlight w:val="yellow"/>
        </w:rPr>
      </w:pPr>
      <w:r w:rsidDel="00000000" w:rsidR="00000000" w:rsidRPr="00000000">
        <w:rPr>
          <w:rFonts w:ascii="Calibri" w:cs="Calibri" w:eastAsia="Calibri" w:hAnsi="Calibri"/>
          <w:i w:val="1"/>
          <w:iCs w:val="1"/>
          <w:color w:val="000000"/>
          <w:highlight w:val="yellow"/>
          <w:u w:val="single"/>
          <w:rtl w:val="0"/>
        </w:rPr>
        <w:t xml:space="preserve">2. No se podrá hacer referencia a marcas de fábrica o de comercio, nombres o tipos comerciales, patentes, derechos de autor, diseños o tipos particulares, ni a determinados orígenes, productores o proveedores</w:t>
      </w:r>
      <w:r w:rsidDel="00000000" w:rsidR="00000000" w:rsidRPr="00000000">
        <w:rPr>
          <w:rFonts w:ascii="Calibri" w:cs="Calibri" w:eastAsia="Calibri" w:hAnsi="Calibri"/>
          <w:i w:val="1"/>
          <w:iCs w:val="1"/>
          <w:color w:val="000000"/>
          <w:highlight w:val="yellow"/>
          <w:rtl w:val="0"/>
        </w:rPr>
        <w:t xml:space="preserve">. Excepcionalmente, y de manera justificada, </w:t>
      </w:r>
      <w:r w:rsidDel="00000000" w:rsidR="00000000" w:rsidRPr="00000000">
        <w:rPr>
          <w:rFonts w:ascii="Calibri" w:cs="Calibri" w:eastAsia="Calibri" w:hAnsi="Calibri"/>
          <w:i w:val="1"/>
          <w:iCs w:val="1"/>
          <w:color w:val="000000"/>
          <w:highlight w:val="yellow"/>
          <w:u w:val="single"/>
          <w:rtl w:val="0"/>
        </w:rPr>
        <w:t xml:space="preserve">se podrá hacer dichas referencias para: la adquisición de repuestos o accesorios; y, en las contrataciones que impliquen el desarrollo o mejora de tecnologías ya existentes en la entidad contratante, como la utilización de patentes o marcas exclusivas o tecnologías que no admitan otras alternativas técnicas</w:t>
      </w:r>
      <w:r w:rsidDel="00000000" w:rsidR="00000000" w:rsidRPr="00000000">
        <w:rPr>
          <w:rFonts w:ascii="Calibri" w:cs="Calibri" w:eastAsia="Calibri" w:hAnsi="Calibri"/>
          <w:i w:val="1"/>
          <w:iCs w:val="1"/>
          <w:color w:val="000000"/>
          <w:highlight w:val="yellow"/>
          <w:rtl w:val="0"/>
        </w:rPr>
        <w:t xml:space="preserve">, en los casos que sea aplicable, la entidad hará constar en el pliego la expresión "o equivalente" u otra similar;</w:t>
      </w:r>
    </w:p>
    <w:p w:rsidR="00000000" w:rsidDel="00000000" w:rsidP="00000000" w:rsidRDefault="00000000" w:rsidRPr="00000000" w14:paraId="00000063">
      <w:pPr>
        <w:ind w:right="710"/>
        <w:jc w:val="both"/>
        <w:rPr>
          <w:rFonts w:ascii="Calibri" w:cs="Calibri" w:eastAsia="Calibri" w:hAnsi="Calibri"/>
          <w:i w:val="1"/>
          <w:iCs w:val="1"/>
          <w:color w:val="000000"/>
          <w:highlight w:val="yellow"/>
        </w:rPr>
      </w:pPr>
      <w:r w:rsidDel="00000000" w:rsidR="00000000" w:rsidRPr="00000000">
        <w:rPr>
          <w:rtl w:val="0"/>
        </w:rPr>
      </w:r>
    </w:p>
    <w:p w:rsidR="00000000" w:rsidDel="00000000" w:rsidP="00000000" w:rsidRDefault="00000000" w:rsidRPr="00000000" w14:paraId="00000064">
      <w:pPr>
        <w:ind w:right="710"/>
        <w:jc w:val="both"/>
        <w:rPr>
          <w:rFonts w:ascii="Calibri" w:cs="Calibri" w:eastAsia="Calibri" w:hAnsi="Calibri"/>
          <w:i w:val="1"/>
          <w:iCs w:val="1"/>
          <w:color w:val="000000"/>
          <w:highlight w:val="yellow"/>
        </w:rPr>
      </w:pPr>
      <w:r w:rsidDel="00000000" w:rsidR="00000000" w:rsidRPr="00000000">
        <w:rPr>
          <w:rFonts w:ascii="Calibri" w:cs="Calibri" w:eastAsia="Calibri" w:hAnsi="Calibri"/>
          <w:i w:val="1"/>
          <w:iCs w:val="1"/>
          <w:color w:val="000000"/>
          <w:highlight w:val="yellow"/>
          <w:rtl w:val="0"/>
        </w:rPr>
        <w:t xml:space="preserve">En este caso</w:t>
      </w:r>
      <w:r w:rsidDel="00000000" w:rsidR="00000000" w:rsidRPr="00000000">
        <w:rPr>
          <w:rFonts w:ascii="Calibri" w:cs="Calibri" w:eastAsia="Calibri" w:hAnsi="Calibri"/>
          <w:i w:val="1"/>
          <w:iCs w:val="1"/>
          <w:color w:val="000000"/>
          <w:highlight w:val="yellow"/>
          <w:u w:val="single"/>
          <w:rtl w:val="0"/>
        </w:rPr>
        <w:t xml:space="preserve">, la entidad contratante</w:t>
      </w:r>
      <w:r w:rsidDel="00000000" w:rsidR="00000000" w:rsidRPr="00000000">
        <w:rPr>
          <w:rFonts w:ascii="Calibri" w:cs="Calibri" w:eastAsia="Calibri" w:hAnsi="Calibri"/>
          <w:i w:val="1"/>
          <w:iCs w:val="1"/>
          <w:color w:val="000000"/>
          <w:highlight w:val="yellow"/>
          <w:rtl w:val="0"/>
        </w:rPr>
        <w:t xml:space="preserve"> deberá publicar la información respecto a la tecnológica existente y/o maquinaria, la cual </w:t>
      </w:r>
      <w:r w:rsidDel="00000000" w:rsidR="00000000" w:rsidRPr="00000000">
        <w:rPr>
          <w:rFonts w:ascii="Calibri" w:cs="Calibri" w:eastAsia="Calibri" w:hAnsi="Calibri"/>
          <w:i w:val="1"/>
          <w:iCs w:val="1"/>
          <w:color w:val="000000"/>
          <w:highlight w:val="yellow"/>
          <w:u w:val="single"/>
          <w:rtl w:val="0"/>
        </w:rPr>
        <w:t xml:space="preserve">deberá plasmarse en un informe técnico debidamente suscrito, el cual será publicado como información relevante</w:t>
      </w:r>
      <w:r w:rsidDel="00000000" w:rsidR="00000000" w:rsidRPr="00000000">
        <w:rPr>
          <w:rFonts w:ascii="Calibri" w:cs="Calibri" w:eastAsia="Calibri" w:hAnsi="Calibri"/>
          <w:i w:val="1"/>
          <w:iCs w:val="1"/>
          <w:color w:val="000000"/>
          <w:highlight w:val="yellow"/>
          <w:rtl w:val="0"/>
        </w:rPr>
        <w:t xml:space="preserv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El contratista deberá realizar la correcta instalación del bien y la comprobación de su óptimo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funcionamiento al momento de realizarse la entrega- recepción</w:t>
      </w:r>
      <w:r w:rsidDel="00000000" w:rsidR="00000000" w:rsidRPr="00000000">
        <w:rPr>
          <w:rtl w:val="0"/>
        </w:rPr>
      </w:r>
    </w:p>
    <w:p w:rsidR="00000000" w:rsidDel="00000000" w:rsidP="00000000" w:rsidRDefault="00000000" w:rsidRPr="00000000" w14:paraId="00000067">
      <w:pPr>
        <w:pStyle w:val="Heading3"/>
        <w:numPr>
          <w:ilvl w:val="0"/>
          <w:numId w:val="3"/>
        </w:numPr>
        <w:tabs>
          <w:tab w:val="left" w:leader="none" w:pos="1734"/>
        </w:tabs>
        <w:spacing w:before="225" w:lineRule="auto"/>
        <w:ind w:left="567" w:hanging="567"/>
        <w:rPr>
          <w:rFonts w:ascii="Calibri" w:cs="Calibri" w:eastAsia="Calibri" w:hAnsi="Calibri"/>
        </w:rPr>
      </w:pPr>
      <w:r w:rsidDel="00000000" w:rsidR="00000000" w:rsidRPr="00000000">
        <w:rPr>
          <w:rFonts w:ascii="Calibri" w:cs="Calibri" w:eastAsia="Calibri" w:hAnsi="Calibri"/>
          <w:rtl w:val="0"/>
        </w:rPr>
        <w:t xml:space="preserve">PLAZO CONTRACTUAL DE EJECUCIÓN</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acuerdo con lo establecido en el artículo 355 del Reglamento General a la Ley Orgánica del Sistema Nacional de Contratación Pública (RGLOSNCP) el plazo contractual para este proceso es de: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XX</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días contados: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a partir del día siguiente de la suscripción de la orden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a partir del día siguiente de la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notificación por escrito por parte del administrador de la orden respecto de la disponibilidad del</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anticipo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desde cualquier otra condición de acuerdo a la naturaleza de la orden</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highlight w:val="green"/>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Descripción de otra condición de acuerdo a la naturaleza de la orden: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indicarla</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highlight w:val="green"/>
          <w:rtl w:val="0"/>
        </w:rPr>
        <w:t xml:space="preserve">El plazo de vigencia de las licencias/suscripción/ es de XX días, contados a partir de XXXX.</w:t>
      </w:r>
      <w:r w:rsidDel="00000000" w:rsidR="00000000" w:rsidRPr="00000000">
        <w:rPr>
          <w:rFonts w:ascii="Calibri" w:cs="Calibri" w:eastAsia="Calibri" w:hAnsi="Calibri"/>
          <w:rtl w:val="0"/>
        </w:rPr>
        <w:t xml:space="preserve"> </w:t>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highlight w:val="green"/>
          <w:rtl w:val="0"/>
        </w:rPr>
        <w:t xml:space="preserve">Cuando aplique: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green"/>
          <w:rtl w:val="0"/>
        </w:rPr>
        <w:t xml:space="preserve">Se aclara que la activación/ suscripción deberá estar disponible en una fecha posterior a XXXX (fecha en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green"/>
          <w:rtl w:val="0"/>
        </w:rPr>
        <w:t xml:space="preserve">que concluye la suscripción vigente).</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734"/>
        </w:tabs>
        <w:spacing w:after="0" w:before="0" w:line="240" w:lineRule="auto"/>
        <w:ind w:left="567"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Tipo de plazo de ejecución de la orden: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total o parcial</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34"/>
        </w:tabs>
        <w:spacing w:after="0" w:before="0" w:line="240" w:lineRule="auto"/>
        <w:ind w:left="567"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730"/>
        </w:tabs>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Detallar el plazo parcial en días (de ser el caso)</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pStyle w:val="Heading3"/>
        <w:numPr>
          <w:ilvl w:val="0"/>
          <w:numId w:val="3"/>
        </w:numPr>
        <w:tabs>
          <w:tab w:val="left" w:leader="none" w:pos="1734"/>
        </w:tabs>
        <w:ind w:left="567" w:hanging="567"/>
        <w:rPr>
          <w:rFonts w:ascii="Calibri" w:cs="Calibri" w:eastAsia="Calibri" w:hAnsi="Calibri"/>
        </w:rPr>
      </w:pPr>
      <w:r w:rsidDel="00000000" w:rsidR="00000000" w:rsidRPr="00000000">
        <w:rPr>
          <w:rFonts w:ascii="Calibri" w:cs="Calibri" w:eastAsia="Calibri" w:hAnsi="Calibri"/>
          <w:rtl w:val="0"/>
        </w:rPr>
        <w:t xml:space="preserve">FORMA Y CONDICIONES DE PAGO</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pStyle w:val="Heading4"/>
        <w:ind w:left="0" w:firstLine="0"/>
        <w:rPr>
          <w:rFonts w:ascii="Calibri" w:cs="Calibri" w:eastAsia="Calibri" w:hAnsi="Calibri"/>
        </w:rPr>
      </w:pPr>
      <w:r w:rsidDel="00000000" w:rsidR="00000000" w:rsidRPr="00000000">
        <w:rPr>
          <w:rFonts w:ascii="Calibri" w:cs="Calibri" w:eastAsia="Calibri" w:hAnsi="Calibri"/>
          <w:rtl w:val="0"/>
        </w:rPr>
        <w:t xml:space="preserve">12.1 – Forma de pago</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pago se realizará de la siguiente manera:</w:t>
      </w:r>
    </w:p>
    <w:p w:rsidR="00000000" w:rsidDel="00000000" w:rsidP="00000000" w:rsidRDefault="00000000" w:rsidRPr="00000000" w14:paraId="0000007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734"/>
        </w:tabs>
        <w:spacing w:after="0" w:before="0" w:line="240" w:lineRule="auto"/>
        <w:ind w:left="567"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Opción 1</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856iif3m8fqc" w:id="3"/>
      <w:bookmarkEnd w:id="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Anticipo: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SI – indicar el </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porcentaje (no podrá ser inferior al 20% ni superior al 35% del monto total de la contratación)</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Saldo: (considerar alguna de las siguientes opciones)</w:t>
      </w:r>
    </w:p>
    <w:p w:rsidR="00000000" w:rsidDel="00000000" w:rsidP="00000000" w:rsidRDefault="00000000" w:rsidRPr="00000000" w14:paraId="0000007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584"/>
        </w:tabs>
        <w:spacing w:after="0" w:before="0" w:line="240" w:lineRule="auto"/>
        <w:ind w:left="0" w:right="0" w:hanging="35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Contra entrega</w:t>
      </w:r>
    </w:p>
    <w:p w:rsidR="00000000" w:rsidDel="00000000" w:rsidP="00000000" w:rsidRDefault="00000000" w:rsidRPr="00000000" w14:paraId="0000007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584"/>
        </w:tabs>
        <w:spacing w:after="0" w:before="22" w:line="240" w:lineRule="auto"/>
        <w:ind w:left="0" w:right="0" w:hanging="35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 Mensual, trimestral, bimestral, etc.</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734"/>
        </w:tabs>
        <w:spacing w:after="0" w:before="0" w:line="240" w:lineRule="auto"/>
        <w:ind w:left="567" w:right="0" w:hanging="567"/>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Opción 2</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Anticipo: 0%</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Saldo (considerar alguna de las siguientes opciones)</w:t>
      </w:r>
    </w:p>
    <w:p w:rsidR="00000000" w:rsidDel="00000000" w:rsidP="00000000" w:rsidRDefault="00000000" w:rsidRPr="00000000" w14:paraId="0000008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584"/>
        </w:tabs>
        <w:spacing w:after="0" w:before="0" w:line="240" w:lineRule="auto"/>
        <w:ind w:left="0" w:right="0" w:hanging="14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100% se cancelará contra la entrega del objeto de la contratación</w:t>
      </w:r>
    </w:p>
    <w:p w:rsidR="00000000" w:rsidDel="00000000" w:rsidP="00000000" w:rsidRDefault="00000000" w:rsidRPr="00000000" w14:paraId="0000008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584"/>
        </w:tabs>
        <w:spacing w:after="0" w:before="21" w:line="240" w:lineRule="auto"/>
        <w:ind w:left="0" w:right="0" w:hanging="14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Otros: Mensual, trimestral, bimestral, etc.</w:t>
      </w:r>
    </w:p>
    <w:p w:rsidR="00000000" w:rsidDel="00000000" w:rsidP="00000000" w:rsidRDefault="00000000" w:rsidRPr="00000000" w14:paraId="00000085">
      <w:pPr>
        <w:pStyle w:val="Heading4"/>
        <w:spacing w:before="182" w:lineRule="auto"/>
        <w:ind w:left="0" w:firstLine="0"/>
        <w:rPr>
          <w:rFonts w:ascii="Calibri" w:cs="Calibri" w:eastAsia="Calibri" w:hAnsi="Calibri"/>
        </w:rPr>
      </w:pPr>
      <w:r w:rsidDel="00000000" w:rsidR="00000000" w:rsidRPr="00000000">
        <w:rPr>
          <w:rFonts w:ascii="Calibri" w:cs="Calibri" w:eastAsia="Calibri" w:hAnsi="Calibri"/>
          <w:rtl w:val="0"/>
        </w:rPr>
        <w:t xml:space="preserve">12.2. Procedimiento para la tramitación de pagos, con plazos de aprobación y pago.</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40" w:lineRule="auto"/>
        <w:ind w:left="0" w:right="142"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gev6olu0mb7u" w:id="4"/>
      <w:bookmarkEnd w:id="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 el fin de dar cumplimiento a lo establecido en el numeral 11 del artículo Art. 83.- Contenido del RGLOSNCP, la ESPOL ha levantado el procedimiento “PCD-FIN-007 - PAGO DE PROVEEDORES- PROCESOS SERCOP” al cual deben alinearse todos los involucrados en el proceso. El documento será publicado en el portal de compras públicas del SERCOP.</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pStyle w:val="Heading4"/>
        <w:ind w:left="0" w:firstLine="0"/>
        <w:rPr>
          <w:rFonts w:ascii="Calibri" w:cs="Calibri" w:eastAsia="Calibri" w:hAnsi="Calibri"/>
        </w:rPr>
      </w:pPr>
      <w:r w:rsidDel="00000000" w:rsidR="00000000" w:rsidRPr="00000000">
        <w:rPr>
          <w:rFonts w:ascii="Calibri" w:cs="Calibri" w:eastAsia="Calibri" w:hAnsi="Calibri"/>
          <w:rtl w:val="0"/>
        </w:rPr>
        <w:t xml:space="preserve">12.3 Documentos habilitantes para el pago:</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35"/>
        </w:tabs>
        <w:spacing w:after="0" w:before="0" w:line="240" w:lineRule="auto"/>
        <w:ind w:left="709" w:right="719"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Solicitud de pago suscrita por el Administrador de la orden y dirigida al Gerente Financiero firmada electrónicamente.</w:t>
      </w:r>
    </w:p>
    <w:p w:rsidR="00000000" w:rsidDel="00000000" w:rsidP="00000000" w:rsidRDefault="00000000" w:rsidRPr="00000000" w14:paraId="0000008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709" w:right="0" w:hanging="35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Acta de entrega recepción parcial/definitiva firmada.</w:t>
      </w:r>
    </w:p>
    <w:p w:rsidR="00000000" w:rsidDel="00000000" w:rsidP="00000000" w:rsidRDefault="00000000" w:rsidRPr="00000000" w14:paraId="0000008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34"/>
        </w:tabs>
        <w:spacing w:after="0" w:before="0" w:line="240" w:lineRule="auto"/>
        <w:ind w:left="709" w:right="0" w:hanging="359"/>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Factura electrónica</w:t>
      </w:r>
    </w:p>
    <w:p w:rsidR="00000000" w:rsidDel="00000000" w:rsidP="00000000" w:rsidRDefault="00000000" w:rsidRPr="00000000" w14:paraId="0000008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709" w:right="0" w:hanging="35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Certificación presupuestaria</w:t>
      </w:r>
    </w:p>
    <w:p w:rsidR="00000000" w:rsidDel="00000000" w:rsidP="00000000" w:rsidRDefault="00000000" w:rsidRPr="00000000" w14:paraId="0000008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733"/>
        </w:tabs>
        <w:spacing w:after="0" w:before="0" w:line="240" w:lineRule="auto"/>
        <w:ind w:left="709" w:right="0" w:hanging="358"/>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Orden de compra</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existir pagos parciales, el pago final se efectuará contra entrega final del bien, y la suscripción del acta entrega – recepción definitiva.</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pStyle w:val="Heading4"/>
        <w:ind w:left="0" w:firstLine="0"/>
        <w:rPr>
          <w:rFonts w:ascii="Calibri" w:cs="Calibri" w:eastAsia="Calibri" w:hAnsi="Calibri"/>
        </w:rPr>
      </w:pPr>
      <w:r w:rsidDel="00000000" w:rsidR="00000000" w:rsidRPr="00000000">
        <w:rPr>
          <w:rFonts w:ascii="Calibri" w:cs="Calibri" w:eastAsia="Calibri" w:hAnsi="Calibri"/>
          <w:rtl w:val="0"/>
        </w:rPr>
        <w:t xml:space="preserve">12.4 Pagos indebidos: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ESPOL se reserva el derecho de reclamar a la empresa contratada, en cualquier tiempo, antes o después de la entrega del bien,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pStyle w:val="Heading3"/>
        <w:numPr>
          <w:ilvl w:val="0"/>
          <w:numId w:val="3"/>
        </w:numPr>
        <w:tabs>
          <w:tab w:val="left" w:leader="none" w:pos="1734"/>
        </w:tabs>
        <w:ind w:left="567" w:hanging="567"/>
        <w:rPr>
          <w:rFonts w:ascii="Calibri" w:cs="Calibri" w:eastAsia="Calibri" w:hAnsi="Calibri"/>
        </w:rPr>
      </w:pPr>
      <w:r w:rsidDel="00000000" w:rsidR="00000000" w:rsidRPr="00000000">
        <w:rPr>
          <w:rFonts w:ascii="Calibri" w:cs="Calibri" w:eastAsia="Calibri" w:hAnsi="Calibri"/>
          <w:rtl w:val="0"/>
        </w:rPr>
        <w:t xml:space="preserve">PRESUPUESTO REFERENCIAL</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9"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relación con lo establecido en el artículo 73 y 75 del Reglamento General de la Ley Orgánica del Sistema Nacional de Contratación Pública, se considerará como presupuesto referencial lo siguiente: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9620.0" w:type="dxa"/>
        <w:jc w:val="left"/>
        <w:tblInd w:w="-43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640"/>
        <w:gridCol w:w="1140"/>
        <w:gridCol w:w="3040"/>
        <w:gridCol w:w="940"/>
        <w:gridCol w:w="1000"/>
        <w:gridCol w:w="1300"/>
        <w:gridCol w:w="1560"/>
        <w:tblGridChange w:id="0">
          <w:tblGrid>
            <w:gridCol w:w="640"/>
            <w:gridCol w:w="1140"/>
            <w:gridCol w:w="3040"/>
            <w:gridCol w:w="940"/>
            <w:gridCol w:w="1000"/>
            <w:gridCol w:w="1300"/>
            <w:gridCol w:w="1560"/>
          </w:tblGrid>
        </w:tblGridChange>
      </w:tblGrid>
      <w:tr>
        <w:trPr>
          <w:cantSplit w:val="0"/>
          <w:trHeight w:val="767" w:hRule="atLeast"/>
          <w:tblHeader w:val="0"/>
        </w:trPr>
        <w:tc>
          <w:tcPr>
            <w:shd w:fill="d9e8f6"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w:t>
            </w:r>
          </w:p>
        </w:tc>
        <w:tc>
          <w:tcPr>
            <w:shd w:fill="d9e8f6"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CPC 9</w:t>
            </w:r>
          </w:p>
        </w:tc>
        <w:tc>
          <w:tcPr>
            <w:shd w:fill="d9e8f6"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w:t>
            </w:r>
          </w:p>
        </w:tc>
        <w:tc>
          <w:tcPr>
            <w:shd w:fill="d9e8f6"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 w:line="254" w:lineRule="auto"/>
              <w:ind w:left="0" w:right="79"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Unidad de medida</w:t>
            </w:r>
          </w:p>
        </w:tc>
        <w:tc>
          <w:tcPr>
            <w:shd w:fill="d9e8f6" w:val="clea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9"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Cantidad</w:t>
            </w:r>
          </w:p>
        </w:tc>
        <w:tc>
          <w:tcPr>
            <w:shd w:fill="d9e8f6" w:val="cle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Precio referencial unitario</w:t>
            </w:r>
          </w:p>
        </w:tc>
        <w:tc>
          <w:tcPr>
            <w:shd w:fill="d9e8f6"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Precio referencial subtotal</w:t>
            </w:r>
          </w:p>
        </w:tc>
      </w:tr>
      <w:tr>
        <w:trPr>
          <w:cantSplit w:val="0"/>
          <w:tblHeader w:val="0"/>
        </w:trPr>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tcBorders>
              <w:left w:color="000000" w:space="0" w:sz="0" w:val="nil"/>
              <w:bottom w:color="000000" w:space="0" w:sz="0" w:val="nil"/>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Subtotal</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xxxx</w:t>
            </w:r>
          </w:p>
        </w:tc>
      </w:tr>
    </w:tbl>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pStyle w:val="Heading3"/>
        <w:numPr>
          <w:ilvl w:val="0"/>
          <w:numId w:val="3"/>
        </w:numPr>
        <w:tabs>
          <w:tab w:val="left" w:leader="none" w:pos="1734"/>
        </w:tabs>
        <w:ind w:left="567" w:hanging="567"/>
        <w:rPr>
          <w:rFonts w:ascii="Calibri" w:cs="Calibri" w:eastAsia="Calibri" w:hAnsi="Calibri"/>
        </w:rPr>
      </w:pPr>
      <w:r w:rsidDel="00000000" w:rsidR="00000000" w:rsidRPr="00000000">
        <w:rPr>
          <w:rFonts w:ascii="Calibri" w:cs="Calibri" w:eastAsia="Calibri" w:hAnsi="Calibri"/>
          <w:rtl w:val="0"/>
        </w:rPr>
        <w:t xml:space="preserve">PRECIO DE LA OFERTA</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734"/>
        </w:tabs>
        <w:spacing w:after="0" w:before="0" w:line="240" w:lineRule="auto"/>
        <w:ind w:left="426" w:right="0" w:hanging="35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bienes deben ser nuevos de paquete.</w:t>
      </w:r>
    </w:p>
    <w:p w:rsidR="00000000" w:rsidDel="00000000" w:rsidP="00000000" w:rsidRDefault="00000000" w:rsidRPr="00000000" w14:paraId="000000B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734"/>
        </w:tabs>
        <w:spacing w:after="0" w:before="0" w:line="240" w:lineRule="auto"/>
        <w:ind w:left="426" w:right="0" w:hanging="35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precio deberá incluir el transporte hasta el sitio de entrega en las instalaciones de la ESPOL.</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pStyle w:val="Heading3"/>
        <w:numPr>
          <w:ilvl w:val="0"/>
          <w:numId w:val="3"/>
        </w:numPr>
        <w:tabs>
          <w:tab w:val="left" w:leader="none" w:pos="1734"/>
        </w:tabs>
        <w:ind w:left="567" w:hanging="567"/>
        <w:rPr>
          <w:rFonts w:ascii="Calibri" w:cs="Calibri" w:eastAsia="Calibri" w:hAnsi="Calibri"/>
        </w:rPr>
      </w:pPr>
      <w:r w:rsidDel="00000000" w:rsidR="00000000" w:rsidRPr="00000000">
        <w:rPr>
          <w:rFonts w:ascii="Calibri" w:cs="Calibri" w:eastAsia="Calibri" w:hAnsi="Calibri"/>
          <w:rtl w:val="0"/>
        </w:rPr>
        <w:t xml:space="preserve">LUGAR DE ENTREGA DE LOS BIENES</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objeto del contrato debe ser entregado en la siguiente localidad:</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Provincia:</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Dirección:</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Dependencia / área:</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pStyle w:val="Heading3"/>
        <w:numPr>
          <w:ilvl w:val="0"/>
          <w:numId w:val="3"/>
        </w:numPr>
        <w:tabs>
          <w:tab w:val="left" w:leader="none" w:pos="1734"/>
        </w:tabs>
        <w:ind w:left="567" w:hanging="567"/>
        <w:rPr>
          <w:rFonts w:ascii="Calibri" w:cs="Calibri" w:eastAsia="Calibri" w:hAnsi="Calibri"/>
        </w:rPr>
      </w:pPr>
      <w:r w:rsidDel="00000000" w:rsidR="00000000" w:rsidRPr="00000000">
        <w:rPr>
          <w:rFonts w:ascii="Calibri" w:cs="Calibri" w:eastAsia="Calibri" w:hAnsi="Calibri"/>
          <w:rtl w:val="0"/>
        </w:rPr>
        <w:t xml:space="preserve">APLICA PRINCIPIO DE VIGENCIA TECNOLÓGICA</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widowControl w:val="1"/>
        <w:jc w:val="both"/>
        <w:rPr>
          <w:highlight w:val="green"/>
        </w:rPr>
      </w:pPr>
      <w:r w:rsidDel="00000000" w:rsidR="00000000" w:rsidRPr="00000000">
        <w:rPr>
          <w:highlight w:val="green"/>
          <w:rtl w:val="0"/>
        </w:rPr>
        <w:t xml:space="preserve">Si o No aplica</w:t>
      </w:r>
    </w:p>
    <w:p w:rsidR="00000000" w:rsidDel="00000000" w:rsidP="00000000" w:rsidRDefault="00000000" w:rsidRPr="00000000" w14:paraId="000000C1">
      <w:pPr>
        <w:widowControl w:val="1"/>
        <w:spacing w:after="240" w:before="240" w:lineRule="auto"/>
        <w:jc w:val="both"/>
        <w:rPr>
          <w:highlight w:val="green"/>
        </w:rPr>
      </w:pPr>
      <w:r w:rsidDel="00000000" w:rsidR="00000000" w:rsidRPr="00000000">
        <w:rPr>
          <w:u w:val="single"/>
          <w:rtl w:val="0"/>
        </w:rPr>
        <w:t xml:space="preserve">CUANDO APLIQUE DEJAR EL SIGUIENTE TEXTO Y NUMERALES:</w:t>
      </w:r>
      <w:r w:rsidDel="00000000" w:rsidR="00000000" w:rsidRPr="00000000">
        <w:rPr>
          <w:rtl w:val="0"/>
        </w:rPr>
      </w:r>
    </w:p>
    <w:p w:rsidR="00000000" w:rsidDel="00000000" w:rsidP="00000000" w:rsidRDefault="00000000" w:rsidRPr="00000000" w14:paraId="000000C2">
      <w:pPr>
        <w:widowControl w:val="1"/>
        <w:jc w:val="both"/>
        <w:rPr>
          <w:i w:val="1"/>
          <w:iCs w:val="1"/>
          <w:highlight w:val="yellow"/>
        </w:rPr>
      </w:pPr>
      <w:r w:rsidDel="00000000" w:rsidR="00000000" w:rsidRPr="00000000">
        <w:rPr>
          <w:highlight w:val="yellow"/>
          <w:rtl w:val="0"/>
        </w:rPr>
        <w:t xml:space="preserve">De acuerdo con  lo establecido en el Art. 69 del RGLONSCP que señala: “</w:t>
      </w:r>
      <w:r w:rsidDel="00000000" w:rsidR="00000000" w:rsidRPr="00000000">
        <w:rPr>
          <w:i w:val="1"/>
          <w:iCs w:val="1"/>
          <w:highlight w:val="yellow"/>
          <w:rtl w:val="0"/>
        </w:rPr>
        <w:t xml:space="preserve">Principio de vigencia tecnológica.- En virtud del principio de vigencia tecnológica, se debe garantizar las condiciones de calidad necesarias de acuerdo con los avances científicos y tecnológicos existentes, a fin de que determinados bienes adquiridos por la entidad contratante cumplan de manera efectiva con su finalidad, en condiciones de perfecto funcionamiento, desde el primer día de adquiridos hasta el último de su vida útil.</w:t>
      </w:r>
    </w:p>
    <w:p w:rsidR="00000000" w:rsidDel="00000000" w:rsidP="00000000" w:rsidRDefault="00000000" w:rsidRPr="00000000" w14:paraId="000000C3">
      <w:pPr>
        <w:widowControl w:val="1"/>
        <w:jc w:val="both"/>
        <w:rPr>
          <w:i w:val="1"/>
          <w:iCs w:val="1"/>
          <w:highlight w:val="yellow"/>
        </w:rPr>
      </w:pPr>
      <w:r w:rsidDel="00000000" w:rsidR="00000000" w:rsidRPr="00000000">
        <w:rPr>
          <w:i w:val="1"/>
          <w:iCs w:val="1"/>
          <w:highlight w:val="yellow"/>
          <w:rtl w:val="0"/>
        </w:rPr>
        <w:t xml:space="preserve"> </w:t>
      </w:r>
    </w:p>
    <w:p w:rsidR="00000000" w:rsidDel="00000000" w:rsidP="00000000" w:rsidRDefault="00000000" w:rsidRPr="00000000" w14:paraId="000000C4">
      <w:pPr>
        <w:widowControl w:val="1"/>
        <w:jc w:val="both"/>
        <w:rPr>
          <w:i w:val="1"/>
          <w:iCs w:val="1"/>
          <w:highlight w:val="yellow"/>
        </w:rPr>
      </w:pPr>
      <w:r w:rsidDel="00000000" w:rsidR="00000000" w:rsidRPr="00000000">
        <w:rPr>
          <w:i w:val="1"/>
          <w:iCs w:val="1"/>
          <w:highlight w:val="yellow"/>
          <w:rtl w:val="0"/>
        </w:rPr>
        <w:t xml:space="preserve">Para tal efecto, en las contrataciones de adquisición de bienes, que no consten en el Catálogo Electrónico, las entidades contratantes, de manera obligatoria determinarán en los pliegos y el contrato, los requisitos y condiciones necesarios que deberán cumplir los oferentes, con la finalidad de garantizar el principio de vigencia tecnológica…”</w:t>
      </w:r>
    </w:p>
    <w:p w:rsidR="00000000" w:rsidDel="00000000" w:rsidP="00000000" w:rsidRDefault="00000000" w:rsidRPr="00000000" w14:paraId="000000C5">
      <w:pPr>
        <w:widowControl w:val="1"/>
        <w:jc w:val="both"/>
        <w:rPr>
          <w:highlight w:val="yellow"/>
        </w:rPr>
      </w:pPr>
      <w:r w:rsidDel="00000000" w:rsidR="00000000" w:rsidRPr="00000000">
        <w:rPr>
          <w:rtl w:val="0"/>
        </w:rPr>
      </w:r>
    </w:p>
    <w:p w:rsidR="00000000" w:rsidDel="00000000" w:rsidP="00000000" w:rsidRDefault="00000000" w:rsidRPr="00000000" w14:paraId="000000C6">
      <w:pPr>
        <w:widowControl w:val="1"/>
        <w:jc w:val="both"/>
        <w:rPr>
          <w:i w:val="1"/>
          <w:iCs w:val="1"/>
          <w:highlight w:val="yellow"/>
        </w:rPr>
      </w:pPr>
      <w:r w:rsidDel="00000000" w:rsidR="00000000" w:rsidRPr="00000000">
        <w:rPr>
          <w:highlight w:val="yellow"/>
          <w:rtl w:val="0"/>
        </w:rPr>
        <w:t xml:space="preserve">“</w:t>
      </w:r>
      <w:r w:rsidDel="00000000" w:rsidR="00000000" w:rsidRPr="00000000">
        <w:rPr>
          <w:i w:val="1"/>
          <w:iCs w:val="1"/>
          <w:highlight w:val="yellow"/>
          <w:rtl w:val="0"/>
        </w:rPr>
        <w:t xml:space="preserve">Art. 70.- Relación contrato principal y vigencia tecnológica.- Para la determinación del presupuesto referencial e inicio de la contratación se deberá incluir únicamente el costo del bien.</w:t>
      </w:r>
    </w:p>
    <w:p w:rsidR="00000000" w:rsidDel="00000000" w:rsidP="00000000" w:rsidRDefault="00000000" w:rsidRPr="00000000" w14:paraId="000000C7">
      <w:pPr>
        <w:widowControl w:val="1"/>
        <w:jc w:val="both"/>
        <w:rPr>
          <w:i w:val="1"/>
          <w:iCs w:val="1"/>
          <w:highlight w:val="yellow"/>
        </w:rPr>
      </w:pPr>
      <w:r w:rsidDel="00000000" w:rsidR="00000000" w:rsidRPr="00000000">
        <w:rPr>
          <w:i w:val="1"/>
          <w:iCs w:val="1"/>
          <w:highlight w:val="yellow"/>
          <w:rtl w:val="0"/>
        </w:rPr>
        <w:t xml:space="preserve">Las entidades contratantes deberán cumplir con todas las obligaciones que, producto de la vigencia tecnológica, enfocado al principio de mejor valor por dinero, se deban efectuar con posterioridad a la entrega de los bienes y que tengan costo adicional; para lo cual deberán obtener previamente la respectiva certificación presupuestaria, y planificar oportunamente los plazos de ejecución de dichas obligaciones.</w:t>
      </w:r>
    </w:p>
    <w:p w:rsidR="00000000" w:rsidDel="00000000" w:rsidP="00000000" w:rsidRDefault="00000000" w:rsidRPr="00000000" w14:paraId="000000C8">
      <w:pPr>
        <w:widowControl w:val="1"/>
        <w:jc w:val="both"/>
        <w:rPr>
          <w:i w:val="1"/>
          <w:iCs w:val="1"/>
          <w:highlight w:val="yellow"/>
        </w:rPr>
      </w:pPr>
      <w:r w:rsidDel="00000000" w:rsidR="00000000" w:rsidRPr="00000000">
        <w:rPr>
          <w:rtl w:val="0"/>
        </w:rPr>
      </w:r>
    </w:p>
    <w:p w:rsidR="00000000" w:rsidDel="00000000" w:rsidP="00000000" w:rsidRDefault="00000000" w:rsidRPr="00000000" w14:paraId="000000C9">
      <w:pPr>
        <w:widowControl w:val="1"/>
        <w:jc w:val="both"/>
        <w:rPr>
          <w:i w:val="1"/>
          <w:iCs w:val="1"/>
          <w:highlight w:val="yellow"/>
        </w:rPr>
      </w:pPr>
      <w:r w:rsidDel="00000000" w:rsidR="00000000" w:rsidRPr="00000000">
        <w:rPr>
          <w:i w:val="1"/>
          <w:iCs w:val="1"/>
          <w:highlight w:val="yellow"/>
          <w:rtl w:val="0"/>
        </w:rPr>
        <w:t xml:space="preserve">El valor de los mantenimientos que se realicen en función a la vida útil del bien se comprometerá con cargo la garantía técnica que emita el contratista.</w:t>
      </w:r>
    </w:p>
    <w:p w:rsidR="00000000" w:rsidDel="00000000" w:rsidP="00000000" w:rsidRDefault="00000000" w:rsidRPr="00000000" w14:paraId="000000CA">
      <w:pPr>
        <w:widowControl w:val="1"/>
        <w:jc w:val="both"/>
        <w:rPr>
          <w:i w:val="1"/>
          <w:iCs w:val="1"/>
          <w:highlight w:val="yellow"/>
        </w:rPr>
      </w:pPr>
      <w:r w:rsidDel="00000000" w:rsidR="00000000" w:rsidRPr="00000000">
        <w:rPr>
          <w:rtl w:val="0"/>
        </w:rPr>
      </w:r>
    </w:p>
    <w:p w:rsidR="00000000" w:rsidDel="00000000" w:rsidP="00000000" w:rsidRDefault="00000000" w:rsidRPr="00000000" w14:paraId="000000CB">
      <w:pPr>
        <w:widowControl w:val="1"/>
        <w:jc w:val="both"/>
        <w:rPr>
          <w:i w:val="1"/>
          <w:iCs w:val="1"/>
          <w:highlight w:val="yellow"/>
        </w:rPr>
      </w:pPr>
      <w:r w:rsidDel="00000000" w:rsidR="00000000" w:rsidRPr="00000000">
        <w:rPr>
          <w:i w:val="1"/>
          <w:iCs w:val="1"/>
          <w:highlight w:val="yellow"/>
          <w:rtl w:val="0"/>
        </w:rPr>
        <w:t xml:space="preserve">En el caso de la prestación de los servicios de mantenimiento preventivo, las entidades contratantes deberán cancelar los valores correspondientes, que desglosarán el valor de la mano de obra y el valor de repuestos, una vez que se ha recibido a satisfacción el servicio y contra la presentación de la correspondiente factura.</w:t>
      </w:r>
    </w:p>
    <w:p w:rsidR="00000000" w:rsidDel="00000000" w:rsidP="00000000" w:rsidRDefault="00000000" w:rsidRPr="00000000" w14:paraId="000000CC">
      <w:pPr>
        <w:widowControl w:val="1"/>
        <w:jc w:val="both"/>
        <w:rPr>
          <w:i w:val="1"/>
          <w:iCs w:val="1"/>
          <w:highlight w:val="yellow"/>
        </w:rPr>
      </w:pPr>
      <w:r w:rsidDel="00000000" w:rsidR="00000000" w:rsidRPr="00000000">
        <w:rPr>
          <w:rtl w:val="0"/>
        </w:rPr>
      </w:r>
    </w:p>
    <w:p w:rsidR="00000000" w:rsidDel="00000000" w:rsidP="00000000" w:rsidRDefault="00000000" w:rsidRPr="00000000" w14:paraId="000000CD">
      <w:pPr>
        <w:widowControl w:val="1"/>
        <w:jc w:val="both"/>
        <w:rPr>
          <w:i w:val="1"/>
          <w:iCs w:val="1"/>
          <w:highlight w:val="yellow"/>
        </w:rPr>
      </w:pPr>
      <w:r w:rsidDel="00000000" w:rsidR="00000000" w:rsidRPr="00000000">
        <w:rPr>
          <w:i w:val="1"/>
          <w:iCs w:val="1"/>
          <w:highlight w:val="yellow"/>
          <w:rtl w:val="0"/>
        </w:rPr>
        <w:t xml:space="preserve">Para la prestación de los servicios de mantenimiento correctivo, las entidades contratantes deberán cancelar los valores correspondientes, una vez que se ha recibido a satisfacción el servicio y contra la presentación de la factura, salvo que el desperfecto corresponda a defectos de fábrica del bien.</w:t>
      </w:r>
    </w:p>
    <w:p w:rsidR="00000000" w:rsidDel="00000000" w:rsidP="00000000" w:rsidRDefault="00000000" w:rsidRPr="00000000" w14:paraId="000000CE">
      <w:pPr>
        <w:widowControl w:val="1"/>
        <w:jc w:val="both"/>
        <w:rPr>
          <w:i w:val="1"/>
          <w:iCs w:val="1"/>
          <w:highlight w:val="yellow"/>
        </w:rPr>
      </w:pPr>
      <w:r w:rsidDel="00000000" w:rsidR="00000000" w:rsidRPr="00000000">
        <w:rPr>
          <w:rtl w:val="0"/>
        </w:rPr>
      </w:r>
    </w:p>
    <w:p w:rsidR="00000000" w:rsidDel="00000000" w:rsidP="00000000" w:rsidRDefault="00000000" w:rsidRPr="00000000" w14:paraId="000000CF">
      <w:pPr>
        <w:widowControl w:val="1"/>
        <w:jc w:val="both"/>
        <w:rPr>
          <w:i w:val="1"/>
          <w:iCs w:val="1"/>
          <w:highlight w:val="yellow"/>
        </w:rPr>
      </w:pPr>
      <w:r w:rsidDel="00000000" w:rsidR="00000000" w:rsidRPr="00000000">
        <w:rPr>
          <w:i w:val="1"/>
          <w:iCs w:val="1"/>
          <w:highlight w:val="yellow"/>
          <w:u w:val="single"/>
          <w:rtl w:val="0"/>
        </w:rPr>
        <w:t xml:space="preserve">No se requerirá efectuar procedimiento precontractual alguno para cubrir los costos adicionales de mantenimiento preventivo y correctivo que se requieran producto de la vigencia tecnológica.</w:t>
      </w:r>
      <w:r w:rsidDel="00000000" w:rsidR="00000000" w:rsidRPr="00000000">
        <w:rPr>
          <w:i w:val="1"/>
          <w:iCs w:val="1"/>
          <w:highlight w:val="yellow"/>
          <w:rtl w:val="0"/>
        </w:rPr>
        <w:t xml:space="preserve">”</w:t>
      </w:r>
    </w:p>
    <w:p w:rsidR="00000000" w:rsidDel="00000000" w:rsidP="00000000" w:rsidRDefault="00000000" w:rsidRPr="00000000" w14:paraId="000000D0">
      <w:pPr>
        <w:pStyle w:val="Heading2"/>
        <w:widowControl w:val="1"/>
        <w:spacing w:after="80" w:before="360" w:lineRule="auto"/>
        <w:ind w:left="0"/>
        <w:jc w:val="both"/>
        <w:rPr>
          <w:b w:val="1"/>
          <w:bCs w:val="1"/>
          <w:sz w:val="22"/>
          <w:szCs w:val="22"/>
        </w:rPr>
      </w:pPr>
      <w:bookmarkStart w:colFirst="0" w:colLast="0" w:name="_heading=h.1mwfnqtzk9lj" w:id="5"/>
      <w:bookmarkEnd w:id="5"/>
      <w:r w:rsidDel="00000000" w:rsidR="00000000" w:rsidRPr="00000000">
        <w:rPr>
          <w:b w:val="1"/>
          <w:bCs w:val="1"/>
          <w:sz w:val="22"/>
          <w:szCs w:val="22"/>
          <w:rtl w:val="0"/>
        </w:rPr>
        <w:t xml:space="preserve">16.1 Vida Útil de los bienes (de ser el caso)</w:t>
      </w:r>
    </w:p>
    <w:p w:rsidR="00000000" w:rsidDel="00000000" w:rsidP="00000000" w:rsidRDefault="00000000" w:rsidRPr="00000000" w14:paraId="000000D1">
      <w:pPr>
        <w:widowControl w:val="1"/>
        <w:spacing w:after="240" w:before="240" w:lineRule="auto"/>
        <w:jc w:val="both"/>
        <w:rPr>
          <w:highlight w:val="green"/>
        </w:rPr>
      </w:pPr>
      <w:r w:rsidDel="00000000" w:rsidR="00000000" w:rsidRPr="00000000">
        <w:rPr>
          <w:highlight w:val="green"/>
          <w:rtl w:val="0"/>
        </w:rPr>
        <w:t xml:space="preserve">Indicar los años de vida útil de los bienes señalados en la sección 10.- ESPECIFICACIONES TÉCNICAS DE LOS BIENES.</w:t>
      </w: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pStyle w:val="Heading3"/>
        <w:numPr>
          <w:ilvl w:val="0"/>
          <w:numId w:val="3"/>
        </w:numPr>
        <w:tabs>
          <w:tab w:val="left" w:leader="none" w:pos="1734"/>
        </w:tabs>
        <w:ind w:left="567" w:hanging="567"/>
        <w:rPr>
          <w:rFonts w:ascii="Calibri" w:cs="Calibri" w:eastAsia="Calibri" w:hAnsi="Calibri"/>
        </w:rPr>
      </w:pPr>
      <w:r w:rsidDel="00000000" w:rsidR="00000000" w:rsidRPr="00000000">
        <w:rPr>
          <w:rFonts w:ascii="Calibri" w:cs="Calibri" w:eastAsia="Calibri" w:hAnsi="Calibri"/>
          <w:rtl w:val="0"/>
        </w:rPr>
        <w:t xml:space="preserve">GARANTÍAS</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pStyle w:val="Heading4"/>
        <w:numPr>
          <w:ilvl w:val="1"/>
          <w:numId w:val="3"/>
        </w:numPr>
        <w:tabs>
          <w:tab w:val="left" w:leader="none" w:pos="1447"/>
        </w:tabs>
        <w:ind w:left="567" w:hanging="709"/>
        <w:rPr>
          <w:rFonts w:ascii="Calibri" w:cs="Calibri" w:eastAsia="Calibri" w:hAnsi="Calibri"/>
        </w:rPr>
      </w:pPr>
      <w:r w:rsidDel="00000000" w:rsidR="00000000" w:rsidRPr="00000000">
        <w:rPr>
          <w:rFonts w:ascii="Calibri" w:cs="Calibri" w:eastAsia="Calibri" w:hAnsi="Calibri"/>
          <w:rtl w:val="0"/>
        </w:rPr>
        <w:t xml:space="preserve">Garantía de fiel cumplimiento– FCC</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aplica</w:t>
      </w:r>
    </w:p>
    <w:p w:rsidR="00000000" w:rsidDel="00000000" w:rsidP="00000000" w:rsidRDefault="00000000" w:rsidRPr="00000000" w14:paraId="000000D8">
      <w:pPr>
        <w:pStyle w:val="Heading4"/>
        <w:numPr>
          <w:ilvl w:val="1"/>
          <w:numId w:val="3"/>
        </w:numPr>
        <w:tabs>
          <w:tab w:val="left" w:leader="none" w:pos="1734"/>
        </w:tabs>
        <w:spacing w:before="268" w:lineRule="auto"/>
        <w:ind w:left="567" w:hanging="719"/>
        <w:rPr>
          <w:rFonts w:ascii="Calibri" w:cs="Calibri" w:eastAsia="Calibri" w:hAnsi="Calibri"/>
        </w:rPr>
      </w:pPr>
      <w:r w:rsidDel="00000000" w:rsidR="00000000" w:rsidRPr="00000000">
        <w:rPr>
          <w:rFonts w:ascii="Calibri" w:cs="Calibri" w:eastAsia="Calibri" w:hAnsi="Calibri"/>
          <w:rtl w:val="0"/>
        </w:rPr>
        <w:t xml:space="preserve">Garantía por anticipo – BUA</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Si/No aplica</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single"/>
          <w:vertAlign w:val="baseline"/>
          <w:rtl w:val="0"/>
        </w:rPr>
        <w:t xml:space="preserve">CUANDO APLIQUE DEJAR EL SIGUIENTE TEXTO:</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El contratista deberá rendir una garantía por igual valor del anticipo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D">
      <w:pPr>
        <w:pStyle w:val="Heading4"/>
        <w:tabs>
          <w:tab w:val="left" w:leader="none" w:pos="1447"/>
        </w:tabs>
        <w:spacing w:before="246" w:lineRule="auto"/>
        <w:ind w:left="0" w:firstLine="0"/>
        <w:jc w:val="both"/>
        <w:rPr>
          <w:rFonts w:ascii="Calibri" w:cs="Calibri" w:eastAsia="Calibri" w:hAnsi="Calibri"/>
          <w:b w:val="0"/>
          <w:bCs w:val="0"/>
          <w:i w:val="1"/>
          <w:iCs w:val="1"/>
          <w:color w:val="000000"/>
        </w:rPr>
      </w:pPr>
      <w:bookmarkStart w:colFirst="0" w:colLast="0" w:name="_heading=h.ptf35p2nzs7i" w:id="6"/>
      <w:bookmarkEnd w:id="6"/>
      <w:r w:rsidDel="00000000" w:rsidR="00000000" w:rsidRPr="00000000">
        <w:rPr>
          <w:rFonts w:ascii="Calibri" w:cs="Calibri" w:eastAsia="Calibri" w:hAnsi="Calibri"/>
          <w:b w:val="0"/>
          <w:bCs w:val="0"/>
          <w:i w:val="1"/>
          <w:iCs w:val="1"/>
          <w:color w:val="000000"/>
          <w:highlight w:val="yellow"/>
          <w:rtl w:val="0"/>
        </w:rPr>
        <w:t xml:space="preserve">LONSCP: Art. 86.- Garantía por anticipo.- Si por la forma de pago establecida en el contrato, la entidad contratante debiera otorgar anticipos de cualquier naturaleza, el contratista para recibir el anticipo deberá rendir previamente garantías por igual valor del anticipo, que se reducirán en la proporción que determine el Reglamento. Las cartas de crédito no se considerarán, anticipo si su pago está condicionado a la entrega - recepción de los bienes u obras materia del contrato…”</w:t>
      </w:r>
      <w:r w:rsidDel="00000000" w:rsidR="00000000" w:rsidRPr="00000000">
        <w:rPr>
          <w:rtl w:val="0"/>
        </w:rPr>
      </w:r>
    </w:p>
    <w:p w:rsidR="00000000" w:rsidDel="00000000" w:rsidP="00000000" w:rsidRDefault="00000000" w:rsidRPr="00000000" w14:paraId="000000DE">
      <w:pPr>
        <w:pStyle w:val="Heading4"/>
        <w:numPr>
          <w:ilvl w:val="1"/>
          <w:numId w:val="3"/>
        </w:numPr>
        <w:tabs>
          <w:tab w:val="left" w:leader="none" w:pos="1447"/>
        </w:tabs>
        <w:spacing w:before="246" w:lineRule="auto"/>
        <w:ind w:left="426" w:hanging="426"/>
        <w:rPr>
          <w:rFonts w:ascii="Calibri" w:cs="Calibri" w:eastAsia="Calibri" w:hAnsi="Calibri"/>
        </w:rPr>
      </w:pPr>
      <w:r w:rsidDel="00000000" w:rsidR="00000000" w:rsidRPr="00000000">
        <w:rPr>
          <w:rFonts w:ascii="Calibri" w:cs="Calibri" w:eastAsia="Calibri" w:hAnsi="Calibri"/>
          <w:rtl w:val="0"/>
        </w:rPr>
        <w:t xml:space="preserve">Garantía técnica</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Si/No aplica</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UANDO APLIQUE DEJAR EL SIGUIENTE TEXTO:</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71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contratista deberá presentar la Garantía Técnica de acuerdo con el Anexo CERTIFICADO DE GARANTIA TÉCNICA, la misma que deberá tener vigencia de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xxx meses/días/ años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contados a partir de la fecha de celebración del Acta de Entrega-Recepción de los bienes entregados a la ESPOL o cualquier otra condición que se establezca</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virtud de que la garantía superará el tiempo de vigencia de la orden, el administrador será el responsable de vigilar el cumplimiento de dicha garantía.</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LOSNCP: Art. 87.- Garantía técnica.- En los contratos de </w:t>
      </w:r>
      <w:r w:rsidDel="00000000" w:rsidR="00000000" w:rsidRPr="00000000">
        <w:rPr>
          <w:rFonts w:ascii="Calibri" w:cs="Calibri" w:eastAsia="Calibri" w:hAnsi="Calibri"/>
          <w:b w:val="0"/>
          <w:bCs w:val="0"/>
          <w:i w:val="1"/>
          <w:iCs w:val="1"/>
          <w:smallCaps w:val="0"/>
          <w:strike w:val="0"/>
          <w:color w:val="000000"/>
          <w:sz w:val="22"/>
          <w:szCs w:val="22"/>
          <w:highlight w:val="yellow"/>
          <w:u w:val="single"/>
          <w:vertAlign w:val="baseline"/>
          <w:rtl w:val="0"/>
        </w:rPr>
        <w:t xml:space="preserve">adquisición, provisión o instalación de equipos, maquinaria o vehículos, o de obras que contemplen aquella provisión o instalación, o en los contratos que la entidad contratante, de manera motivada, considere pertinente</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para precautelar el interés institucional y asegurar la calidad y buen funcionamiento de los mismos, exigirá al momento de la recepción una garantía del fabricante, representante, distribuidor o vendedor autorizado, la que se mantendrá vigente de acuerdo con las estipulaciones establecidas en el contrato.</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Estas garantías son independientes y subsistirán luego de cumplida la obligación principal.</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De no presentarse esta garantía, el contratista entregará una de las previstas en esta Ley, por igual valor</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del bien a suministrarse, de conformidad con lo establecido en los pliegos y en el contrato.</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En todos los casos, </w:t>
      </w:r>
      <w:r w:rsidDel="00000000" w:rsidR="00000000" w:rsidRPr="00000000">
        <w:rPr>
          <w:rFonts w:ascii="Calibri" w:cs="Calibri" w:eastAsia="Calibri" w:hAnsi="Calibri"/>
          <w:b w:val="0"/>
          <w:bCs w:val="0"/>
          <w:i w:val="1"/>
          <w:iCs w:val="1"/>
          <w:smallCaps w:val="0"/>
          <w:strike w:val="0"/>
          <w:color w:val="000000"/>
          <w:sz w:val="22"/>
          <w:szCs w:val="22"/>
          <w:highlight w:val="yellow"/>
          <w:u w:val="single"/>
          <w:vertAlign w:val="baseline"/>
          <w:rtl w:val="0"/>
        </w:rPr>
        <w:t xml:space="preserve">las garantías entrarán en vigencia a partir de la entrega recepción del bien</w:t>
      </w: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 El</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yellow"/>
          <w:u w:val="none"/>
          <w:vertAlign w:val="baseline"/>
          <w:rtl w:val="0"/>
        </w:rPr>
        <w:t xml:space="preserve">Reglamento podrá determinar mecanismos de respaldo de estas garantías, tales como: terceros especializados en la prestación de servicios de garantías, pólizas, cláusulas de incumplimiento, entre otros.”</w:t>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F0">
      <w:pPr>
        <w:widowControl w:val="1"/>
        <w:jc w:val="both"/>
        <w:rPr>
          <w:b w:val="1"/>
          <w:bCs w:val="1"/>
        </w:rPr>
      </w:pPr>
      <w:r w:rsidDel="00000000" w:rsidR="00000000" w:rsidRPr="00000000">
        <w:rPr>
          <w:b w:val="1"/>
          <w:bCs w:val="1"/>
          <w:rtl w:val="0"/>
        </w:rPr>
        <w:t xml:space="preserve">17.4 Garantía técnica por vigencia tecnológica. (dejar solo si aplica)</w:t>
      </w:r>
    </w:p>
    <w:p w:rsidR="00000000" w:rsidDel="00000000" w:rsidP="00000000" w:rsidRDefault="00000000" w:rsidRPr="00000000" w14:paraId="000000F1">
      <w:pPr>
        <w:widowControl w:val="1"/>
        <w:jc w:val="both"/>
        <w:rPr>
          <w:highlight w:val="green"/>
        </w:rPr>
      </w:pPr>
      <w:r w:rsidDel="00000000" w:rsidR="00000000" w:rsidRPr="00000000">
        <w:rPr>
          <w:rtl w:val="0"/>
        </w:rPr>
      </w:r>
    </w:p>
    <w:p w:rsidR="00000000" w:rsidDel="00000000" w:rsidP="00000000" w:rsidRDefault="00000000" w:rsidRPr="00000000" w14:paraId="000000F2">
      <w:pPr>
        <w:widowControl w:val="1"/>
        <w:jc w:val="both"/>
        <w:rPr>
          <w:highlight w:val="green"/>
        </w:rPr>
      </w:pPr>
      <w:r w:rsidDel="00000000" w:rsidR="00000000" w:rsidRPr="00000000">
        <w:rPr>
          <w:highlight w:val="green"/>
          <w:rtl w:val="0"/>
        </w:rPr>
        <w:t xml:space="preserve">En aplicación de vigencia tecnológica, se deberá solicitar la garantía técnica de acuerdo a la vida útil.</w:t>
      </w:r>
    </w:p>
    <w:p w:rsidR="00000000" w:rsidDel="00000000" w:rsidP="00000000" w:rsidRDefault="00000000" w:rsidRPr="00000000" w14:paraId="000000F3">
      <w:pPr>
        <w:widowControl w:val="1"/>
        <w:spacing w:after="240" w:before="240" w:lineRule="auto"/>
        <w:jc w:val="both"/>
        <w:rPr/>
      </w:pPr>
      <w:r w:rsidDel="00000000" w:rsidR="00000000" w:rsidRPr="00000000">
        <w:rPr>
          <w:rtl w:val="0"/>
        </w:rPr>
        <w:t xml:space="preserve">Previo a la suscripción del contrato, el adjudicatario deberá presentar la Garantía Técnica de acuerdo con el ANEXO - CERTIFICADO DE GARANTÍA TÉCNICA POR VIGENCIA TECNOLÓGICA, la misma que deberá tener vigencia de </w:t>
      </w:r>
      <w:r w:rsidDel="00000000" w:rsidR="00000000" w:rsidRPr="00000000">
        <w:rPr>
          <w:highlight w:val="green"/>
          <w:rtl w:val="0"/>
        </w:rPr>
        <w:t xml:space="preserve">xx</w:t>
      </w:r>
      <w:r w:rsidDel="00000000" w:rsidR="00000000" w:rsidRPr="00000000">
        <w:rPr>
          <w:rtl w:val="0"/>
        </w:rPr>
        <w:t xml:space="preserve"> días/meses/años, contados a partir de la fecha de celebración del Acta de Entrega-Recepción definitiva de los bienes entregados a la ESPOL.</w:t>
      </w:r>
    </w:p>
    <w:p w:rsidR="00000000" w:rsidDel="00000000" w:rsidP="00000000" w:rsidRDefault="00000000" w:rsidRPr="00000000" w14:paraId="000000F4">
      <w:pPr>
        <w:widowControl w:val="1"/>
        <w:rPr/>
      </w:pPr>
      <w:r w:rsidDel="00000000" w:rsidR="00000000" w:rsidRPr="00000000">
        <w:rPr>
          <w:rtl w:val="0"/>
        </w:rPr>
        <w:t xml:space="preserve">En virtud de que la garantía técnica superará el tiempo de vigencia del contrato, el administrador del contrato será el responsable de vigilar el cumplimiento de dicha garantía.</w:t>
      </w:r>
    </w:p>
    <w:p w:rsidR="00000000" w:rsidDel="00000000" w:rsidP="00000000" w:rsidRDefault="00000000" w:rsidRPr="00000000" w14:paraId="000000F5">
      <w:pPr>
        <w:widowControl w:val="1"/>
        <w:rPr/>
      </w:pPr>
      <w:r w:rsidDel="00000000" w:rsidR="00000000" w:rsidRPr="00000000">
        <w:rPr>
          <w:rtl w:val="0"/>
        </w:rPr>
      </w:r>
    </w:p>
    <w:p w:rsidR="00000000" w:rsidDel="00000000" w:rsidP="00000000" w:rsidRDefault="00000000" w:rsidRPr="00000000" w14:paraId="000000F6">
      <w:pPr>
        <w:widowControl w:val="1"/>
        <w:spacing w:after="240" w:before="240" w:lineRule="auto"/>
        <w:jc w:val="both"/>
        <w:rPr>
          <w:b w:val="1"/>
          <w:bCs w:val="1"/>
          <w:highlight w:val="white"/>
        </w:rPr>
      </w:pPr>
      <w:r w:rsidDel="00000000" w:rsidR="00000000" w:rsidRPr="00000000">
        <w:rPr>
          <w:b w:val="1"/>
          <w:bCs w:val="1"/>
          <w:highlight w:val="white"/>
          <w:rtl w:val="0"/>
        </w:rPr>
        <w:t xml:space="preserve">17.4.1 Metodología para pagos derivados de los mantenimientos de la garantía técnica de vigencia tecnológica</w:t>
      </w:r>
    </w:p>
    <w:p w:rsidR="00000000" w:rsidDel="00000000" w:rsidP="00000000" w:rsidRDefault="00000000" w:rsidRPr="00000000" w14:paraId="000000F7">
      <w:pPr>
        <w:widowControl w:val="1"/>
        <w:numPr>
          <w:ilvl w:val="0"/>
          <w:numId w:val="1"/>
        </w:numPr>
        <w:spacing w:after="0" w:afterAutospacing="0" w:before="240" w:lineRule="auto"/>
        <w:ind w:left="720" w:hanging="360"/>
        <w:jc w:val="both"/>
        <w:rPr>
          <w:highlight w:val="white"/>
        </w:rPr>
      </w:pPr>
      <w:r w:rsidDel="00000000" w:rsidR="00000000" w:rsidRPr="00000000">
        <w:rPr>
          <w:highlight w:val="white"/>
          <w:rtl w:val="0"/>
        </w:rPr>
        <w:t xml:space="preserve">El administrador del contrato, previo a realizar el mantenimiento deberá solicitar al contratista los valores por concepto de la ejecución de los mantenimientos correspondientes.</w:t>
      </w:r>
    </w:p>
    <w:p w:rsidR="00000000" w:rsidDel="00000000" w:rsidP="00000000" w:rsidRDefault="00000000" w:rsidRPr="00000000" w14:paraId="000000F8">
      <w:pPr>
        <w:widowControl w:val="1"/>
        <w:numPr>
          <w:ilvl w:val="0"/>
          <w:numId w:val="1"/>
        </w:numPr>
        <w:spacing w:after="0" w:afterAutospacing="0" w:before="0" w:beforeAutospacing="0" w:lineRule="auto"/>
        <w:ind w:left="720" w:hanging="360"/>
        <w:jc w:val="both"/>
        <w:rPr>
          <w:highlight w:val="white"/>
        </w:rPr>
      </w:pPr>
      <w:r w:rsidDel="00000000" w:rsidR="00000000" w:rsidRPr="00000000">
        <w:rPr>
          <w:highlight w:val="white"/>
          <w:rtl w:val="0"/>
        </w:rPr>
        <w:t xml:space="preserve">El contratista deberá remitir el detalle de los valores a ser cancelados por concepto del mantenimiento.</w:t>
      </w:r>
    </w:p>
    <w:p w:rsidR="00000000" w:rsidDel="00000000" w:rsidP="00000000" w:rsidRDefault="00000000" w:rsidRPr="00000000" w14:paraId="000000F9">
      <w:pPr>
        <w:widowControl w:val="1"/>
        <w:numPr>
          <w:ilvl w:val="0"/>
          <w:numId w:val="1"/>
        </w:numPr>
        <w:spacing w:after="0" w:afterAutospacing="0" w:before="0" w:beforeAutospacing="0" w:lineRule="auto"/>
        <w:ind w:left="720" w:hanging="360"/>
        <w:jc w:val="both"/>
        <w:rPr>
          <w:highlight w:val="white"/>
        </w:rPr>
      </w:pPr>
      <w:r w:rsidDel="00000000" w:rsidR="00000000" w:rsidRPr="00000000">
        <w:rPr>
          <w:highlight w:val="white"/>
          <w:rtl w:val="0"/>
        </w:rPr>
        <w:t xml:space="preserve">El Administrador del contrato solicitará a la gerencia financiera la emisión de la correspondiente certificación presupuestaria.</w:t>
      </w:r>
    </w:p>
    <w:p w:rsidR="00000000" w:rsidDel="00000000" w:rsidP="00000000" w:rsidRDefault="00000000" w:rsidRPr="00000000" w14:paraId="000000FA">
      <w:pPr>
        <w:widowControl w:val="1"/>
        <w:numPr>
          <w:ilvl w:val="0"/>
          <w:numId w:val="1"/>
        </w:numPr>
        <w:spacing w:after="0" w:afterAutospacing="0" w:before="0" w:beforeAutospacing="0" w:lineRule="auto"/>
        <w:ind w:left="720" w:hanging="360"/>
        <w:jc w:val="both"/>
        <w:rPr>
          <w:highlight w:val="white"/>
        </w:rPr>
      </w:pPr>
      <w:r w:rsidDel="00000000" w:rsidR="00000000" w:rsidRPr="00000000">
        <w:rPr>
          <w:highlight w:val="white"/>
          <w:rtl w:val="0"/>
        </w:rPr>
        <w:t xml:space="preserve">El administrador de contrato, una vez que se haya emitido la certificación presupuestaria, coordinará la ejecución de los mantenimientos.</w:t>
      </w:r>
    </w:p>
    <w:p w:rsidR="00000000" w:rsidDel="00000000" w:rsidP="00000000" w:rsidRDefault="00000000" w:rsidRPr="00000000" w14:paraId="000000FB">
      <w:pPr>
        <w:widowControl w:val="1"/>
        <w:numPr>
          <w:ilvl w:val="0"/>
          <w:numId w:val="1"/>
        </w:numPr>
        <w:spacing w:after="0" w:afterAutospacing="0" w:before="0" w:beforeAutospacing="0" w:lineRule="auto"/>
        <w:ind w:left="720" w:hanging="360"/>
        <w:jc w:val="both"/>
        <w:rPr>
          <w:highlight w:val="white"/>
        </w:rPr>
      </w:pPr>
      <w:r w:rsidDel="00000000" w:rsidR="00000000" w:rsidRPr="00000000">
        <w:rPr>
          <w:highlight w:val="white"/>
          <w:rtl w:val="0"/>
        </w:rPr>
        <w:t xml:space="preserve">Una vez realizado el mantenimiento, el Contratista deberá presentar un informe técnico del servicio realizado y la factura.</w:t>
      </w:r>
    </w:p>
    <w:p w:rsidR="00000000" w:rsidDel="00000000" w:rsidP="00000000" w:rsidRDefault="00000000" w:rsidRPr="00000000" w14:paraId="000000FC">
      <w:pPr>
        <w:widowControl w:val="1"/>
        <w:numPr>
          <w:ilvl w:val="0"/>
          <w:numId w:val="1"/>
        </w:numPr>
        <w:spacing w:after="0" w:afterAutospacing="0" w:before="0" w:beforeAutospacing="0" w:lineRule="auto"/>
        <w:ind w:left="720" w:hanging="360"/>
        <w:jc w:val="both"/>
        <w:rPr>
          <w:highlight w:val="white"/>
        </w:rPr>
      </w:pPr>
      <w:r w:rsidDel="00000000" w:rsidR="00000000" w:rsidRPr="00000000">
        <w:rPr>
          <w:highlight w:val="white"/>
          <w:rtl w:val="0"/>
        </w:rPr>
        <w:t xml:space="preserve">Una vez realizado el mantenimiento, el Administrador de contrato, solicitará el pago a la Gerencia Financiera.</w:t>
      </w:r>
    </w:p>
    <w:p w:rsidR="00000000" w:rsidDel="00000000" w:rsidP="00000000" w:rsidRDefault="00000000" w:rsidRPr="00000000" w14:paraId="000000FD">
      <w:pPr>
        <w:widowControl w:val="1"/>
        <w:numPr>
          <w:ilvl w:val="0"/>
          <w:numId w:val="1"/>
        </w:numPr>
        <w:spacing w:after="240" w:before="0" w:beforeAutospacing="0" w:lineRule="auto"/>
        <w:ind w:left="720" w:hanging="360"/>
        <w:jc w:val="both"/>
        <w:rPr>
          <w:highlight w:val="white"/>
        </w:rPr>
      </w:pPr>
      <w:r w:rsidDel="00000000" w:rsidR="00000000" w:rsidRPr="00000000">
        <w:rPr>
          <w:highlight w:val="white"/>
          <w:rtl w:val="0"/>
        </w:rPr>
        <w:t xml:space="preserve">Toda vez que se cuente con el CUR de pago, el Administrador del contrato deberá publicar la información en el portal del SERCOP.</w:t>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100">
      <w:pPr>
        <w:pStyle w:val="Heading3"/>
        <w:numPr>
          <w:ilvl w:val="0"/>
          <w:numId w:val="3"/>
        </w:numPr>
        <w:tabs>
          <w:tab w:val="left" w:leader="none" w:pos="1734"/>
        </w:tabs>
        <w:ind w:left="567" w:hanging="567"/>
        <w:rPr>
          <w:rFonts w:ascii="Calibri" w:cs="Calibri" w:eastAsia="Calibri" w:hAnsi="Calibri"/>
        </w:rPr>
      </w:pPr>
      <w:r w:rsidDel="00000000" w:rsidR="00000000" w:rsidRPr="00000000">
        <w:rPr>
          <w:rFonts w:ascii="Calibri" w:cs="Calibri" w:eastAsia="Calibri" w:hAnsi="Calibri"/>
          <w:rtl w:val="0"/>
        </w:rPr>
        <w:t xml:space="preserve">VIGENCIA DE LA OFERTA</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5"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acuerdo con lo establecido en el artículo 29 de la Ley Orgánica del Sistema Nacional de Contratación Pública, las ofertas estarán vigentes por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90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días.</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pStyle w:val="Heading3"/>
        <w:numPr>
          <w:ilvl w:val="0"/>
          <w:numId w:val="3"/>
        </w:numPr>
        <w:tabs>
          <w:tab w:val="left" w:leader="none" w:pos="1734"/>
        </w:tabs>
        <w:ind w:left="567" w:hanging="567"/>
        <w:rPr>
          <w:rFonts w:ascii="Calibri" w:cs="Calibri" w:eastAsia="Calibri" w:hAnsi="Calibri"/>
        </w:rPr>
      </w:pPr>
      <w:r w:rsidDel="00000000" w:rsidR="00000000" w:rsidRPr="00000000">
        <w:rPr>
          <w:rFonts w:ascii="Calibri" w:cs="Calibri" w:eastAsia="Calibri" w:hAnsi="Calibri"/>
          <w:rtl w:val="0"/>
        </w:rPr>
        <w:t xml:space="preserve">REAJUSTE DE PRECIOS</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green"/>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Si/No aplica</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09" w:right="0" w:hanging="720"/>
        <w:jc w:val="left"/>
        <w:rPr>
          <w:rFonts w:ascii="Calibri" w:cs="Calibri" w:eastAsia="Calibri" w:hAnsi="Calibri"/>
          <w:b w:val="1"/>
          <w:bCs w:val="1"/>
          <w:i w:val="0"/>
          <w:iCs w:val="0"/>
          <w:smallCaps w:val="0"/>
          <w:strike w:val="0"/>
          <w:color w:val="000000"/>
          <w:sz w:val="22"/>
          <w:szCs w:val="22"/>
          <w:u w:val="none"/>
          <w:shd w:fill="auto" w:val="clear"/>
          <w:vertAlign w:val="baseline"/>
        </w:rPr>
      </w:pPr>
      <w:bookmarkStart w:colFirst="0" w:colLast="0" w:name="_heading=h.9oouquqbeqrx" w:id="7"/>
      <w:bookmarkEnd w:id="7"/>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ESTRATEGIA DE LA ADQUISICIÓN</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widowControl w:val="1"/>
        <w:jc w:val="both"/>
        <w:rPr>
          <w:rFonts w:ascii="Calibri" w:cs="Calibri" w:eastAsia="Calibri" w:hAnsi="Calibri"/>
          <w:i w:val="1"/>
          <w:iCs w:val="1"/>
          <w:highlight w:val="yellow"/>
        </w:rPr>
      </w:pPr>
      <w:r w:rsidDel="00000000" w:rsidR="00000000" w:rsidRPr="00000000">
        <w:rPr>
          <w:rFonts w:ascii="Calibri" w:cs="Calibri" w:eastAsia="Calibri" w:hAnsi="Calibri"/>
          <w:highlight w:val="yellow"/>
          <w:rtl w:val="0"/>
        </w:rPr>
        <w:t xml:space="preserve">“</w:t>
      </w:r>
      <w:r w:rsidDel="00000000" w:rsidR="00000000" w:rsidRPr="00000000">
        <w:rPr>
          <w:rFonts w:ascii="Calibri" w:cs="Calibri" w:eastAsia="Calibri" w:hAnsi="Calibri"/>
          <w:i w:val="1"/>
          <w:iCs w:val="1"/>
          <w:highlight w:val="yellow"/>
          <w:rtl w:val="0"/>
        </w:rPr>
        <w:t xml:space="preserve">RGLOSNCP Art. 74 Análisis de mejor valor por dinero. - (…) Para definir la estrategia de adquisición, la entidad contratante deberá realizar un análisis que </w:t>
      </w:r>
      <w:r w:rsidDel="00000000" w:rsidR="00000000" w:rsidRPr="00000000">
        <w:rPr>
          <w:rFonts w:ascii="Calibri" w:cs="Calibri" w:eastAsia="Calibri" w:hAnsi="Calibri"/>
          <w:i w:val="1"/>
          <w:iCs w:val="1"/>
          <w:highlight w:val="yellow"/>
          <w:u w:val="single"/>
          <w:rtl w:val="0"/>
        </w:rPr>
        <w:t xml:space="preserve">identifique la alternativa que permita maximizar los resultados del gasto público, considerando no solo el precio, sino también otros atributos relevantes como la calidad, sostenibilidad, innovación, costos del ciclo de vida, desempeño y funcionalidad</w:t>
      </w:r>
      <w:r w:rsidDel="00000000" w:rsidR="00000000" w:rsidRPr="00000000">
        <w:rPr>
          <w:rFonts w:ascii="Calibri" w:cs="Calibri" w:eastAsia="Calibri" w:hAnsi="Calibri"/>
          <w:i w:val="1"/>
          <w:iCs w:val="1"/>
          <w:highlight w:val="yellow"/>
          <w:rtl w:val="0"/>
        </w:rPr>
        <w:t xml:space="preserve">…”</w:t>
      </w:r>
    </w:p>
    <w:p w:rsidR="00000000" w:rsidDel="00000000" w:rsidP="00000000" w:rsidRDefault="00000000" w:rsidRPr="00000000" w14:paraId="0000010B">
      <w:pPr>
        <w:widowControl w:val="1"/>
        <w:jc w:val="both"/>
        <w:rPr>
          <w:rFonts w:ascii="Calibri" w:cs="Calibri" w:eastAsia="Calibri" w:hAnsi="Calibri"/>
          <w:i w:val="1"/>
          <w:iCs w:val="1"/>
        </w:rPr>
      </w:pPr>
      <w:r w:rsidDel="00000000" w:rsidR="00000000" w:rsidRPr="00000000">
        <w:rPr>
          <w:rtl w:val="0"/>
        </w:rPr>
      </w:r>
    </w:p>
    <w:p w:rsidR="00000000" w:rsidDel="00000000" w:rsidP="00000000" w:rsidRDefault="00000000" w:rsidRPr="00000000" w14:paraId="0000010C">
      <w:pPr>
        <w:widowControl w:val="1"/>
        <w:jc w:val="both"/>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Ejemplo:</w:t>
      </w:r>
    </w:p>
    <w:p w:rsidR="00000000" w:rsidDel="00000000" w:rsidP="00000000" w:rsidRDefault="00000000" w:rsidRPr="00000000" w14:paraId="0000010D">
      <w:pPr>
        <w:widowControl w:val="1"/>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La adquisición del bien “xxxx” debe gestionarse mediante </w:t>
      </w:r>
      <w:r w:rsidDel="00000000" w:rsidR="00000000" w:rsidRPr="00000000">
        <w:rPr>
          <w:rFonts w:ascii="Calibri" w:cs="Calibri" w:eastAsia="Calibri" w:hAnsi="Calibri"/>
          <w:b w:val="1"/>
          <w:bCs w:val="1"/>
          <w:highlight w:val="yellow"/>
          <w:rtl w:val="0"/>
        </w:rPr>
        <w:t xml:space="preserve">Importación</w:t>
      </w:r>
      <w:r w:rsidDel="00000000" w:rsidR="00000000" w:rsidRPr="00000000">
        <w:rPr>
          <w:rFonts w:ascii="Calibri" w:cs="Calibri" w:eastAsia="Calibri" w:hAnsi="Calibri"/>
          <w:highlight w:val="yellow"/>
          <w:rtl w:val="0"/>
        </w:rPr>
        <w:t xml:space="preserve">, debido a que no existen proveedores nacionales capaces de ofrecer un producto equivalente en calidad, especificaciones técnicas, capacidad de producción o cumplimiento normativo.</w:t>
      </w:r>
    </w:p>
    <w:p w:rsidR="00000000" w:rsidDel="00000000" w:rsidP="00000000" w:rsidRDefault="00000000" w:rsidRPr="00000000" w14:paraId="0000010E">
      <w:pPr>
        <w:widowControl w:val="1"/>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0F">
      <w:pPr>
        <w:widowControl w:val="1"/>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Esta situación ha sido verificada mediante revisión del mercado local, lo cual se ha realizado a través de la búsqueda de proveedores por el código CPC del proceso y con la publicación de la necesidad en el portal de compras públicas, sin identificarse alternativas nacionales viables.</w:t>
      </w:r>
    </w:p>
    <w:p w:rsidR="00000000" w:rsidDel="00000000" w:rsidP="00000000" w:rsidRDefault="00000000" w:rsidRPr="00000000" w14:paraId="00000110">
      <w:pPr>
        <w:widowControl w:val="1"/>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11">
      <w:pPr>
        <w:widowControl w:val="1"/>
        <w:jc w:val="both"/>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Optar por la importación maximiza los resultados del gasto público, ya que garantiza:</w:t>
      </w:r>
    </w:p>
    <w:p w:rsidR="00000000" w:rsidDel="00000000" w:rsidP="00000000" w:rsidRDefault="00000000" w:rsidRPr="00000000" w14:paraId="00000112">
      <w:pPr>
        <w:widowControl w:val="1"/>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Eficiencia técnica: se obtiene un bien que cumple plenamente con los requisitos del proyecto.</w:t>
      </w:r>
    </w:p>
    <w:p w:rsidR="00000000" w:rsidDel="00000000" w:rsidP="00000000" w:rsidRDefault="00000000" w:rsidRPr="00000000" w14:paraId="00000114">
      <w:pPr>
        <w:widowControl w:val="1"/>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Eficiencia económica: se accede a mejores condiciones de calidad–precio que no pueden ser alcanzadas localmente.</w:t>
      </w:r>
    </w:p>
    <w:p w:rsidR="00000000" w:rsidDel="00000000" w:rsidP="00000000" w:rsidRDefault="00000000" w:rsidRPr="00000000" w14:paraId="00000116">
      <w:pPr>
        <w:widowControl w:val="1"/>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Uso responsable de recursos del Estado, asegurando que la inversión se oriente a la alternativa que genera mayor valor público.</w:t>
      </w:r>
    </w:p>
    <w:p w:rsidR="00000000" w:rsidDel="00000000" w:rsidP="00000000" w:rsidRDefault="00000000" w:rsidRPr="00000000" w14:paraId="00000118">
      <w:pPr>
        <w:widowControl w:val="1"/>
        <w:jc w:val="both"/>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19">
      <w:pPr>
        <w:widowControl w:val="1"/>
        <w:jc w:val="both"/>
        <w:rPr>
          <w:rFonts w:ascii="Calibri" w:cs="Calibri" w:eastAsia="Calibri" w:hAnsi="Calibri"/>
        </w:rPr>
      </w:pPr>
      <w:r w:rsidDel="00000000" w:rsidR="00000000" w:rsidRPr="00000000">
        <w:rPr>
          <w:rFonts w:ascii="Calibri" w:cs="Calibri" w:eastAsia="Calibri" w:hAnsi="Calibri"/>
          <w:highlight w:val="yellow"/>
          <w:rtl w:val="0"/>
        </w:rPr>
        <w:t xml:space="preserve">Por estas razones, la importación del bien “xxx” constituye la decisión más conveniente para el Estado y garantiza una gestión eficiente, transparente y alineada con los principios del gasto público.</w:t>
      </w: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299"/>
        </w:tabs>
        <w:spacing w:after="0" w:before="268" w:line="240" w:lineRule="auto"/>
        <w:ind w:left="567" w:right="0" w:hanging="567"/>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VERIFICACIÓN DE CUMPLIMIENTO DE INTEGRIDAD Y REQUISITOS MÍNIMOS DE LA OFERTA</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pStyle w:val="Heading2"/>
        <w:ind w:left="0" w:right="69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 la oferta recibida de parte del participante, se procederá a verificar el cumplimiento íntegro de las especificaciones técnicas, normativa técnica, condiciones legales y condiciones económicas mínimas a cumplir por los ofertantes solicitadas en este pliego, mediante el siguiente orden:</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240.0" w:type="dxa"/>
        <w:jc w:val="left"/>
        <w:tblInd w:w="-29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500"/>
        <w:gridCol w:w="2380"/>
        <w:gridCol w:w="2360"/>
        <w:tblGridChange w:id="0">
          <w:tblGrid>
            <w:gridCol w:w="4500"/>
            <w:gridCol w:w="2380"/>
            <w:gridCol w:w="2360"/>
          </w:tblGrid>
        </w:tblGridChange>
      </w:tblGrid>
      <w:tr>
        <w:trPr>
          <w:cantSplit w:val="0"/>
          <w:trHeight w:val="280" w:hRule="atLeast"/>
          <w:tblHeader w:val="0"/>
        </w:trPr>
        <w:tc>
          <w:tcPr>
            <w:shd w:fill="f1f1f1" w:val="cle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4"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REQUISITO DE CUMPLIMIENTO</w:t>
            </w:r>
          </w:p>
        </w:tc>
        <w:tc>
          <w:tcPr>
            <w:shd w:fill="f1f1f1"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4"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CUMPLE (SI o NO)</w:t>
            </w:r>
          </w:p>
        </w:tc>
        <w:tc>
          <w:tcPr>
            <w:shd w:fill="f1f1f1" w:val="cle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4"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OBSERVACIONES</w:t>
            </w:r>
          </w:p>
        </w:tc>
      </w:tr>
      <w:tr>
        <w:trPr>
          <w:cantSplit w:val="0"/>
          <w:trHeight w:val="260" w:hRule="atLeast"/>
          <w:tblHeader w:val="0"/>
        </w:trPr>
        <w:tc>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Integridad de la oferta (cotización)</w:t>
            </w:r>
          </w:p>
        </w:tc>
        <w:tc>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5"/>
        <w:tblW w:w="9640.0" w:type="dxa"/>
        <w:jc w:val="left"/>
        <w:tblInd w:w="-29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836"/>
        <w:gridCol w:w="2380"/>
        <w:gridCol w:w="4424"/>
        <w:tblGridChange w:id="0">
          <w:tblGrid>
            <w:gridCol w:w="2836"/>
            <w:gridCol w:w="2380"/>
            <w:gridCol w:w="4424"/>
          </w:tblGrid>
        </w:tblGridChange>
      </w:tblGrid>
      <w:tr>
        <w:trPr>
          <w:cantSplit w:val="0"/>
          <w:trHeight w:val="260" w:hRule="atLeast"/>
          <w:tblHeader w:val="0"/>
        </w:trPr>
        <w:tc>
          <w:tcPr>
            <w:shd w:fill="f1f1f1" w:val="cle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4"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REQUISITO</w:t>
            </w:r>
          </w:p>
        </w:tc>
        <w:tc>
          <w:tcPr>
            <w:shd w:fill="f1f1f1" w:val="cle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4"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PORCENTAJE</w:t>
            </w:r>
          </w:p>
        </w:tc>
        <w:tc>
          <w:tcPr>
            <w:shd w:fill="f1f1f1" w:val="cle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4"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OBSERVACIONES</w:t>
            </w:r>
          </w:p>
        </w:tc>
      </w:tr>
      <w:tr>
        <w:trPr>
          <w:cantSplit w:val="0"/>
          <w:trHeight w:val="1079" w:hRule="atLeast"/>
          <w:tblHeader w:val="0"/>
        </w:trPr>
        <w:tc>
          <w:tcP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Especificaciones técnicas</w:t>
            </w:r>
          </w:p>
        </w:tc>
        <w:tc>
          <w:tcP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50%</w:t>
            </w:r>
          </w:p>
        </w:tc>
        <w:tc>
          <w:tcPr>
            <w:vAlign w:val="center"/>
          </w:tcPr>
          <w:p w:rsidR="00000000" w:rsidDel="00000000" w:rsidP="00000000" w:rsidRDefault="00000000" w:rsidRPr="00000000" w14:paraId="0000012B">
            <w:pPr>
              <w:jc w:val="both"/>
              <w:rPr>
                <w:rFonts w:ascii="Calibri" w:cs="Calibri" w:eastAsia="Calibri" w:hAnsi="Calibri"/>
              </w:rPr>
            </w:pPr>
            <w:r w:rsidDel="00000000" w:rsidR="00000000" w:rsidRPr="00000000">
              <w:rPr>
                <w:rFonts w:ascii="Calibri" w:cs="Calibri" w:eastAsia="Calibri" w:hAnsi="Calibri"/>
                <w:rtl w:val="0"/>
              </w:rPr>
              <w:t xml:space="preserve">Si presenta las especificaciones técnicas obtendrá los 50 puntos</w:t>
            </w:r>
          </w:p>
        </w:tc>
      </w:tr>
      <w:tr>
        <w:trPr>
          <w:cantSplit w:val="0"/>
          <w:trHeight w:val="799" w:hRule="atLeast"/>
          <w:tblHeader w:val="0"/>
        </w:trPr>
        <w:tc>
          <w:tcP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Oferta Económica</w:t>
            </w:r>
          </w:p>
        </w:tc>
        <w:tc>
          <w:tcP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50%</w:t>
            </w:r>
          </w:p>
        </w:tc>
        <w:tc>
          <w:tcPr>
            <w:vAlign w:val="center"/>
          </w:tcPr>
          <w:p w:rsidR="00000000" w:rsidDel="00000000" w:rsidP="00000000" w:rsidRDefault="00000000" w:rsidRPr="00000000" w14:paraId="0000012E">
            <w:pPr>
              <w:jc w:val="both"/>
              <w:rPr>
                <w:rFonts w:ascii="Calibri" w:cs="Calibri" w:eastAsia="Calibri" w:hAnsi="Calibri"/>
              </w:rPr>
            </w:pPr>
            <w:r w:rsidDel="00000000" w:rsidR="00000000" w:rsidRPr="00000000">
              <w:rPr>
                <w:rFonts w:ascii="Calibri" w:cs="Calibri" w:eastAsia="Calibri" w:hAnsi="Calibri"/>
                <w:rtl w:val="0"/>
              </w:rPr>
              <w:t xml:space="preserve">Si presenta la oferta económica obtendrá los 50 puntos</w:t>
            </w:r>
          </w:p>
        </w:tc>
      </w:tr>
    </w:tbl>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6"/>
        <w:tblW w:w="9148.0" w:type="dxa"/>
        <w:jc w:val="left"/>
        <w:tblInd w:w="-284.0" w:type="dxa"/>
        <w:tblLayout w:type="fixed"/>
        <w:tblLook w:val="0000"/>
      </w:tblPr>
      <w:tblGrid>
        <w:gridCol w:w="2948"/>
        <w:gridCol w:w="3100"/>
        <w:gridCol w:w="3100"/>
        <w:tblGridChange w:id="0">
          <w:tblGrid>
            <w:gridCol w:w="2948"/>
            <w:gridCol w:w="3100"/>
            <w:gridCol w:w="3100"/>
          </w:tblGrid>
        </w:tblGridChange>
      </w:tblGrid>
      <w:tr>
        <w:trPr>
          <w:cantSplit w:val="0"/>
          <w:trHeight w:val="2119" w:hRule="atLeast"/>
          <w:tblHeader w:val="0"/>
        </w:trPr>
        <w:tc>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Elaborado por:</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yellow"/>
                <w:u w:val="none"/>
                <w:vertAlign w:val="baseline"/>
                <w:rtl w:val="0"/>
              </w:rPr>
              <w:t xml:space="preserve">El funcionario deberá estar CERTIFICADO ANTE EL SERCOP</w:t>
            </w:r>
            <w:r w:rsidDel="00000000" w:rsidR="00000000" w:rsidRPr="00000000">
              <w:rPr>
                <w:rtl w:val="0"/>
              </w:rPr>
            </w:r>
          </w:p>
        </w:tc>
        <w:tc>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Revisado por:</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6"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yellow"/>
                <w:u w:val="none"/>
                <w:vertAlign w:val="baseline"/>
                <w:rtl w:val="0"/>
              </w:rPr>
              <w:t xml:space="preserve">El funcionario deberá estar CERTIFICADO ANTE EL SERCOP</w:t>
            </w:r>
            <w:r w:rsidDel="00000000" w:rsidR="00000000" w:rsidRPr="00000000">
              <w:rPr>
                <w:rtl w:val="0"/>
              </w:rPr>
            </w:r>
          </w:p>
        </w:tc>
        <w:tc>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Aprobado por:</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yellow"/>
                <w:u w:val="none"/>
                <w:vertAlign w:val="baseline"/>
                <w:rtl w:val="0"/>
              </w:rPr>
              <w:t xml:space="preserve">El funcionario deberá estar CERTIFICADO ANTE EL SERCOP</w:t>
            </w:r>
            <w:r w:rsidDel="00000000" w:rsidR="00000000" w:rsidRPr="00000000">
              <w:rPr>
                <w:rtl w:val="0"/>
              </w:rPr>
            </w:r>
          </w:p>
        </w:tc>
      </w:tr>
    </w:tbl>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9" w:type="default"/>
          <w:footerReference r:id="rId10" w:type="default"/>
          <w:pgSz w:h="16840" w:w="11920" w:orient="portrait"/>
          <w:pgMar w:bottom="1940" w:top="1280" w:left="1701" w:right="1005" w:header="499" w:footer="1070"/>
          <w:pgNumType w:start="1"/>
        </w:sect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pStyle w:val="Heading3"/>
        <w:ind w:left="0" w:right="468" w:firstLine="0"/>
        <w:jc w:val="center"/>
        <w:rPr>
          <w:rFonts w:ascii="Calibri" w:cs="Calibri" w:eastAsia="Calibri" w:hAnsi="Calibri"/>
        </w:rPr>
      </w:pPr>
      <w:r w:rsidDel="00000000" w:rsidR="00000000" w:rsidRPr="00000000">
        <w:rPr>
          <w:rFonts w:ascii="Calibri" w:cs="Calibri" w:eastAsia="Calibri" w:hAnsi="Calibri"/>
          <w:rtl w:val="0"/>
        </w:rPr>
        <w:t xml:space="preserve">ANEXO</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ind w:right="468"/>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CERTIFICADO DE GARANTÍA TÉCNICA</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mi calidad de Contratista,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(nombre de persona natural o jurídica, asociación o consorcio),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garantizo los bienes del objeto de contratación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incluir el objeto de contratación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por un plazo de </w:t>
      </w: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“XXXX” días/meses/años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contados a partir de la firma del acta de entrega recepción del objeto del contrato.</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3"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vigencia de la garantía técnica, se tomarán las medidas correctivas necesarias para cumplir en las mismas condiciones requeridas en las Especificaciones Técnicas y pliegos.</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En el caso de la adquisición de bienes tecnológicos (vigencia tecnológica)</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highlight w:val="yellow"/>
          <w:u w:val="none"/>
          <w:vertAlign w:val="baseline"/>
          <w:rtl w:val="0"/>
        </w:rPr>
        <w:t xml:space="preserve">dejar lo siguiente:</w:t>
      </w: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4" w:firstLine="0"/>
        <w:jc w:val="both"/>
        <w:rPr>
          <w:rFonts w:ascii="Calibri" w:cs="Calibri" w:eastAsia="Calibri" w:hAnsi="Calibri"/>
          <w:b w:val="0"/>
          <w:bCs w:val="0"/>
          <w:i w:val="0"/>
          <w:iCs w:val="0"/>
          <w:smallCaps w:val="0"/>
          <w:strike w:val="0"/>
          <w:color w:val="000000"/>
          <w:sz w:val="22"/>
          <w:szCs w:val="22"/>
          <w:highlight w:val="green"/>
          <w:u w:val="none"/>
          <w:vertAlign w:val="baseline"/>
        </w:rPr>
      </w:pPr>
      <w:bookmarkStart w:colFirst="0" w:colLast="0" w:name="_heading=h.nxq8m5kcbgk0" w:id="8"/>
      <w:bookmarkEnd w:id="8"/>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De acuerdo con lo señalado en el artículo 351 del RGLOSNCP la reposición de los bienes en aplicación de la garantía técnica, ya sea por defecto de fábrica o por mal funcionamiento durante su operación. La reposición podrá ser:</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4" w:firstLine="0"/>
        <w:jc w:val="both"/>
        <w:rPr>
          <w:rFonts w:ascii="Calibri" w:cs="Calibri" w:eastAsia="Calibri" w:hAnsi="Calibri"/>
          <w:b w:val="0"/>
          <w:bCs w:val="0"/>
          <w:i w:val="0"/>
          <w:iCs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1" w:right="14" w:hanging="360"/>
        <w:jc w:val="both"/>
        <w:rPr>
          <w:rFonts w:ascii="Calibri" w:cs="Calibri" w:eastAsia="Calibri" w:hAnsi="Calibri"/>
          <w:b w:val="0"/>
          <w:bCs w:val="0"/>
          <w:i w:val="0"/>
          <w:iCs w:val="0"/>
          <w:smallCaps w:val="0"/>
          <w:strike w:val="0"/>
          <w:color w:val="000000"/>
          <w:sz w:val="22"/>
          <w:szCs w:val="22"/>
          <w:highlight w:val="green"/>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Reposición temporal Comprende la entrega inmediata de un bien de las mismas o mayores características o especificaciones técnicas hasta la reposición definitiva; y,</w:t>
      </w:r>
    </w:p>
    <w:p w:rsidR="00000000" w:rsidDel="00000000" w:rsidP="00000000" w:rsidRDefault="00000000" w:rsidRPr="00000000" w14:paraId="0000014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1" w:right="14" w:hanging="360"/>
        <w:jc w:val="both"/>
        <w:rPr>
          <w:rFonts w:ascii="Calibri" w:cs="Calibri" w:eastAsia="Calibri" w:hAnsi="Calibri"/>
          <w:b w:val="0"/>
          <w:bCs w:val="0"/>
          <w:i w:val="0"/>
          <w:iCs w:val="0"/>
          <w:smallCaps w:val="0"/>
          <w:strike w:val="0"/>
          <w:color w:val="000000"/>
          <w:sz w:val="22"/>
          <w:szCs w:val="22"/>
          <w:highlight w:val="green"/>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green"/>
          <w:u w:val="none"/>
          <w:vertAlign w:val="baseline"/>
          <w:rtl w:val="0"/>
        </w:rPr>
        <w:t xml:space="preserve">Reposición definitiva Operará en el caso en que el bien deba ser reemplazado por uno nuevo de iguales o mayores características o especificaciones técnicas, siempre y cuando no se trate de un daño derivado del mal uso u operación.</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14"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Atentamente,</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pStyle w:val="Heading1"/>
        <w:ind w:left="1" w:right="183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 de la Persona Natural o Representante Legal (Persona Jurídica) </w:t>
      </w:r>
    </w:p>
    <w:p w:rsidR="00000000" w:rsidDel="00000000" w:rsidP="00000000" w:rsidRDefault="00000000" w:rsidRPr="00000000" w14:paraId="00000153">
      <w:pPr>
        <w:rPr>
          <w:rFonts w:ascii="Calibri" w:cs="Calibri" w:eastAsia="Calibri" w:hAnsi="Calibri"/>
          <w:b w:val="1"/>
          <w:bCs w:val="1"/>
        </w:rPr>
      </w:pPr>
      <w:r w:rsidDel="00000000" w:rsidR="00000000" w:rsidRPr="00000000">
        <w:rPr>
          <w:rtl w:val="0"/>
        </w:rPr>
      </w:r>
    </w:p>
    <w:sectPr>
      <w:type w:val="nextPage"/>
      <w:pgSz w:h="16840" w:w="11920" w:orient="portrait"/>
      <w:pgMar w:bottom="1843" w:top="1418" w:left="1701" w:right="1005"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0</wp:posOffset>
          </wp:positionV>
          <wp:extent cx="7296961" cy="1125018"/>
          <wp:effectExtent b="0" l="0" r="0" t="0"/>
          <wp:wrapNone/>
          <wp:docPr id="13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296961" cy="1125018"/>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4963235</wp:posOffset>
              </wp:positionH>
              <wp:positionV relativeFrom="paragraph">
                <wp:posOffset>9808883</wp:posOffset>
              </wp:positionV>
              <wp:extent cx="818515" cy="177165"/>
              <wp:effectExtent b="0" l="0" r="0" t="0"/>
              <wp:wrapNone/>
              <wp:docPr id="135" name=""/>
              <a:graphic>
                <a:graphicData uri="http://schemas.microsoft.com/office/word/2010/wordprocessingShape">
                  <wps:wsp>
                    <wps:cNvSpPr/>
                    <wps:cNvPr id="2" name="Shape 2"/>
                    <wps:spPr>
                      <a:xfrm>
                        <a:off x="4941505" y="3696180"/>
                        <a:ext cx="808990" cy="167640"/>
                      </a:xfrm>
                      <a:prstGeom prst="rect">
                        <a:avLst/>
                      </a:prstGeom>
                      <a:no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Página </w:t>
                          </w:r>
                          <w:r w:rsidDel="00000000" w:rsidR="00000000" w:rsidRPr="00000000">
                            <w:rPr>
                              <w:rFonts w:ascii="Arial" w:cs="Arial" w:eastAsia="Arial" w:hAnsi="Arial"/>
                              <w:b w:val="1"/>
                              <w:i w:val="0"/>
                              <w:smallCaps w:val="0"/>
                              <w:strike w:val="0"/>
                              <w:color w:val="000000"/>
                              <w:sz w:val="20"/>
                              <w:vertAlign w:val="baseline"/>
                            </w:rPr>
                            <w:t xml:space="preserve"> PAGE 5 </w:t>
                          </w:r>
                          <w:r w:rsidDel="00000000" w:rsidR="00000000" w:rsidRPr="00000000">
                            <w:rPr>
                              <w:rFonts w:ascii="Arial" w:cs="Arial" w:eastAsia="Arial" w:hAnsi="Arial"/>
                              <w:b w:val="0"/>
                              <w:i w:val="0"/>
                              <w:smallCaps w:val="0"/>
                              <w:strike w:val="0"/>
                              <w:color w:val="000000"/>
                              <w:sz w:val="20"/>
                              <w:vertAlign w:val="baseline"/>
                            </w:rPr>
                            <w:t xml:space="preserve">de </w:t>
                          </w:r>
                          <w:r w:rsidDel="00000000" w:rsidR="00000000" w:rsidRPr="00000000">
                            <w:rPr>
                              <w:rFonts w:ascii="Arial" w:cs="Arial" w:eastAsia="Arial" w:hAnsi="Arial"/>
                              <w:b w:val="1"/>
                              <w:i w:val="0"/>
                              <w:smallCaps w:val="0"/>
                              <w:strike w:val="0"/>
                              <w:color w:val="000000"/>
                              <w:sz w:val="20"/>
                              <w:vertAlign w:val="baseline"/>
                            </w:rPr>
                            <w:t xml:space="preserve"> NUMPAGES 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4963235</wp:posOffset>
              </wp:positionH>
              <wp:positionV relativeFrom="paragraph">
                <wp:posOffset>9808883</wp:posOffset>
              </wp:positionV>
              <wp:extent cx="818515" cy="177165"/>
              <wp:effectExtent b="0" l="0" r="0" t="0"/>
              <wp:wrapNone/>
              <wp:docPr id="135"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818515" cy="17716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142818</wp:posOffset>
          </wp:positionH>
          <wp:positionV relativeFrom="page">
            <wp:posOffset>317180</wp:posOffset>
          </wp:positionV>
          <wp:extent cx="6855276" cy="507955"/>
          <wp:effectExtent b="0" l="0" r="0" t="0"/>
          <wp:wrapNone/>
          <wp:docPr id="13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55276" cy="50795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739" w:hanging="360"/>
      </w:pPr>
      <w:rPr>
        <w:rFonts w:ascii="Calibri" w:cs="Calibri" w:eastAsia="Calibri" w:hAnsi="Calibri"/>
        <w:b w:val="0"/>
        <w:bCs w:val="0"/>
        <w:i w:val="0"/>
        <w:iCs w:val="0"/>
        <w:sz w:val="22"/>
        <w:szCs w:val="22"/>
      </w:rPr>
    </w:lvl>
    <w:lvl w:ilvl="1">
      <w:start w:val="0"/>
      <w:numFmt w:val="bullet"/>
      <w:lvlText w:val="•"/>
      <w:lvlJc w:val="left"/>
      <w:pPr>
        <w:ind w:left="2677" w:hanging="360"/>
      </w:pPr>
      <w:rPr/>
    </w:lvl>
    <w:lvl w:ilvl="2">
      <w:start w:val="0"/>
      <w:numFmt w:val="bullet"/>
      <w:lvlText w:val="•"/>
      <w:lvlJc w:val="left"/>
      <w:pPr>
        <w:ind w:left="3610" w:hanging="360"/>
      </w:pPr>
      <w:rPr/>
    </w:lvl>
    <w:lvl w:ilvl="3">
      <w:start w:val="0"/>
      <w:numFmt w:val="bullet"/>
      <w:lvlText w:val="•"/>
      <w:lvlJc w:val="left"/>
      <w:pPr>
        <w:ind w:left="4543" w:hanging="360"/>
      </w:pPr>
      <w:rPr/>
    </w:lvl>
    <w:lvl w:ilvl="4">
      <w:start w:val="0"/>
      <w:numFmt w:val="bullet"/>
      <w:lvlText w:val="•"/>
      <w:lvlJc w:val="left"/>
      <w:pPr>
        <w:ind w:left="5476" w:hanging="360"/>
      </w:pPr>
      <w:rPr/>
    </w:lvl>
    <w:lvl w:ilvl="5">
      <w:start w:val="0"/>
      <w:numFmt w:val="bullet"/>
      <w:lvlText w:val="•"/>
      <w:lvlJc w:val="left"/>
      <w:pPr>
        <w:ind w:left="6409" w:hanging="360"/>
      </w:pPr>
      <w:rPr/>
    </w:lvl>
    <w:lvl w:ilvl="6">
      <w:start w:val="0"/>
      <w:numFmt w:val="bullet"/>
      <w:lvlText w:val="•"/>
      <w:lvlJc w:val="left"/>
      <w:pPr>
        <w:ind w:left="7342" w:hanging="360"/>
      </w:pPr>
      <w:rPr/>
    </w:lvl>
    <w:lvl w:ilvl="7">
      <w:start w:val="0"/>
      <w:numFmt w:val="bullet"/>
      <w:lvlText w:val="•"/>
      <w:lvlJc w:val="left"/>
      <w:pPr>
        <w:ind w:left="8275" w:hanging="360"/>
      </w:pPr>
      <w:rPr/>
    </w:lvl>
    <w:lvl w:ilvl="8">
      <w:start w:val="0"/>
      <w:numFmt w:val="bullet"/>
      <w:lvlText w:val="•"/>
      <w:lvlJc w:val="left"/>
      <w:pPr>
        <w:ind w:left="9208" w:hanging="360"/>
      </w:pPr>
      <w:rPr/>
    </w:lvl>
  </w:abstractNum>
  <w:abstractNum w:abstractNumId="3">
    <w:lvl w:ilvl="0">
      <w:start w:val="1"/>
      <w:numFmt w:val="decimal"/>
      <w:lvlText w:val="%1."/>
      <w:lvlJc w:val="left"/>
      <w:pPr>
        <w:ind w:left="1735" w:hanging="720"/>
      </w:pPr>
      <w:rPr>
        <w:rFonts w:ascii="Calibri" w:cs="Calibri" w:eastAsia="Calibri" w:hAnsi="Calibri"/>
        <w:b w:val="1"/>
        <w:bCs w:val="1"/>
        <w:i w:val="0"/>
        <w:iCs w:val="0"/>
        <w:sz w:val="22"/>
        <w:szCs w:val="22"/>
      </w:rPr>
    </w:lvl>
    <w:lvl w:ilvl="1">
      <w:start w:val="1"/>
      <w:numFmt w:val="decimal"/>
      <w:lvlText w:val="%1.%2"/>
      <w:lvlJc w:val="left"/>
      <w:pPr>
        <w:ind w:left="2600" w:hanging="332"/>
      </w:pPr>
      <w:rPr>
        <w:rFonts w:ascii="Calibri" w:cs="Calibri" w:eastAsia="Calibri" w:hAnsi="Calibri"/>
        <w:b w:val="1"/>
        <w:bCs w:val="1"/>
        <w:i w:val="0"/>
        <w:iCs w:val="0"/>
        <w:sz w:val="22"/>
        <w:szCs w:val="22"/>
      </w:rPr>
    </w:lvl>
    <w:lvl w:ilvl="2">
      <w:start w:val="0"/>
      <w:numFmt w:val="bullet"/>
      <w:lvlText w:val="•"/>
      <w:lvlJc w:val="left"/>
      <w:pPr>
        <w:ind w:left="2776" w:hanging="331.99999999999955"/>
      </w:pPr>
      <w:rPr/>
    </w:lvl>
    <w:lvl w:ilvl="3">
      <w:start w:val="0"/>
      <w:numFmt w:val="bullet"/>
      <w:lvlText w:val="•"/>
      <w:lvlJc w:val="left"/>
      <w:pPr>
        <w:ind w:left="3813" w:hanging="332"/>
      </w:pPr>
      <w:rPr/>
    </w:lvl>
    <w:lvl w:ilvl="4">
      <w:start w:val="0"/>
      <w:numFmt w:val="bullet"/>
      <w:lvlText w:val="•"/>
      <w:lvlJc w:val="left"/>
      <w:pPr>
        <w:ind w:left="4850" w:hanging="332"/>
      </w:pPr>
      <w:rPr/>
    </w:lvl>
    <w:lvl w:ilvl="5">
      <w:start w:val="0"/>
      <w:numFmt w:val="bullet"/>
      <w:lvlText w:val="•"/>
      <w:lvlJc w:val="left"/>
      <w:pPr>
        <w:ind w:left="5886" w:hanging="332"/>
      </w:pPr>
      <w:rPr/>
    </w:lvl>
    <w:lvl w:ilvl="6">
      <w:start w:val="0"/>
      <w:numFmt w:val="bullet"/>
      <w:lvlText w:val="•"/>
      <w:lvlJc w:val="left"/>
      <w:pPr>
        <w:ind w:left="6923" w:hanging="332.0000000000009"/>
      </w:pPr>
      <w:rPr/>
    </w:lvl>
    <w:lvl w:ilvl="7">
      <w:start w:val="0"/>
      <w:numFmt w:val="bullet"/>
      <w:lvlText w:val="•"/>
      <w:lvlJc w:val="left"/>
      <w:pPr>
        <w:ind w:left="7960" w:hanging="332"/>
      </w:pPr>
      <w:rPr/>
    </w:lvl>
    <w:lvl w:ilvl="8">
      <w:start w:val="0"/>
      <w:numFmt w:val="bullet"/>
      <w:lvlText w:val="•"/>
      <w:lvlJc w:val="left"/>
      <w:pPr>
        <w:ind w:left="8996" w:hanging="332"/>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1" w:hanging="360.00000000000006"/>
      </w:pPr>
      <w:rPr/>
    </w:lvl>
    <w:lvl w:ilvl="1">
      <w:start w:val="1"/>
      <w:numFmt w:val="lowerLetter"/>
      <w:lvlText w:val="%2."/>
      <w:lvlJc w:val="left"/>
      <w:pPr>
        <w:ind w:left="1441" w:hanging="360"/>
      </w:pPr>
      <w:rPr/>
    </w:lvl>
    <w:lvl w:ilvl="2">
      <w:start w:val="1"/>
      <w:numFmt w:val="lowerRoman"/>
      <w:lvlText w:val="%3."/>
      <w:lvlJc w:val="right"/>
      <w:pPr>
        <w:ind w:left="2161" w:hanging="180"/>
      </w:pPr>
      <w:rPr/>
    </w:lvl>
    <w:lvl w:ilvl="3">
      <w:start w:val="1"/>
      <w:numFmt w:val="decimal"/>
      <w:lvlText w:val="%4."/>
      <w:lvlJc w:val="left"/>
      <w:pPr>
        <w:ind w:left="2881" w:hanging="360"/>
      </w:pPr>
      <w:rPr/>
    </w:lvl>
    <w:lvl w:ilvl="4">
      <w:start w:val="1"/>
      <w:numFmt w:val="lowerLetter"/>
      <w:lvlText w:val="%5."/>
      <w:lvlJc w:val="left"/>
      <w:pPr>
        <w:ind w:left="3601" w:hanging="360"/>
      </w:pPr>
      <w:rPr/>
    </w:lvl>
    <w:lvl w:ilvl="5">
      <w:start w:val="1"/>
      <w:numFmt w:val="lowerRoman"/>
      <w:lvlText w:val="%6."/>
      <w:lvlJc w:val="right"/>
      <w:pPr>
        <w:ind w:left="4321" w:hanging="180"/>
      </w:pPr>
      <w:rPr/>
    </w:lvl>
    <w:lvl w:ilvl="6">
      <w:start w:val="1"/>
      <w:numFmt w:val="decimal"/>
      <w:lvlText w:val="%7."/>
      <w:lvlJc w:val="left"/>
      <w:pPr>
        <w:ind w:left="5041" w:hanging="360"/>
      </w:pPr>
      <w:rPr/>
    </w:lvl>
    <w:lvl w:ilvl="7">
      <w:start w:val="1"/>
      <w:numFmt w:val="lowerLetter"/>
      <w:lvlText w:val="%8."/>
      <w:lvlJc w:val="left"/>
      <w:pPr>
        <w:ind w:left="5761" w:hanging="360"/>
      </w:pPr>
      <w:rPr/>
    </w:lvl>
    <w:lvl w:ilvl="8">
      <w:start w:val="1"/>
      <w:numFmt w:val="lowerRoman"/>
      <w:lvlText w:val="%9."/>
      <w:lvlJc w:val="right"/>
      <w:pPr>
        <w:ind w:left="6481" w:hanging="180"/>
      </w:pPr>
      <w:rPr/>
    </w:lvl>
  </w:abstractNum>
  <w:abstractNum w:abstractNumId="6">
    <w:lvl w:ilvl="0">
      <w:start w:val="0"/>
      <w:numFmt w:val="bullet"/>
      <w:lvlText w:val="-"/>
      <w:lvlJc w:val="left"/>
      <w:pPr>
        <w:ind w:left="1735" w:hanging="360"/>
      </w:pPr>
      <w:rPr>
        <w:rFonts w:ascii="Calibri" w:cs="Calibri" w:eastAsia="Calibri" w:hAnsi="Calibri"/>
        <w:b w:val="0"/>
        <w:bCs w:val="0"/>
        <w:i w:val="0"/>
        <w:iCs w:val="0"/>
        <w:sz w:val="22"/>
        <w:szCs w:val="22"/>
      </w:rPr>
    </w:lvl>
    <w:lvl w:ilvl="1">
      <w:start w:val="0"/>
      <w:numFmt w:val="bullet"/>
      <w:lvlText w:val="•"/>
      <w:lvlJc w:val="left"/>
      <w:pPr>
        <w:ind w:left="2673" w:hanging="360"/>
      </w:pPr>
      <w:rPr/>
    </w:lvl>
    <w:lvl w:ilvl="2">
      <w:start w:val="0"/>
      <w:numFmt w:val="bullet"/>
      <w:lvlText w:val="•"/>
      <w:lvlJc w:val="left"/>
      <w:pPr>
        <w:ind w:left="3606" w:hanging="360"/>
      </w:pPr>
      <w:rPr/>
    </w:lvl>
    <w:lvl w:ilvl="3">
      <w:start w:val="0"/>
      <w:numFmt w:val="bullet"/>
      <w:lvlText w:val="•"/>
      <w:lvlJc w:val="left"/>
      <w:pPr>
        <w:ind w:left="4539" w:hanging="360"/>
      </w:pPr>
      <w:rPr/>
    </w:lvl>
    <w:lvl w:ilvl="4">
      <w:start w:val="0"/>
      <w:numFmt w:val="bullet"/>
      <w:lvlText w:val="•"/>
      <w:lvlJc w:val="left"/>
      <w:pPr>
        <w:ind w:left="5472" w:hanging="360"/>
      </w:pPr>
      <w:rPr/>
    </w:lvl>
    <w:lvl w:ilvl="5">
      <w:start w:val="0"/>
      <w:numFmt w:val="bullet"/>
      <w:lvlText w:val="•"/>
      <w:lvlJc w:val="left"/>
      <w:pPr>
        <w:ind w:left="6405" w:hanging="360"/>
      </w:pPr>
      <w:rPr/>
    </w:lvl>
    <w:lvl w:ilvl="6">
      <w:start w:val="0"/>
      <w:numFmt w:val="bullet"/>
      <w:lvlText w:val="•"/>
      <w:lvlJc w:val="left"/>
      <w:pPr>
        <w:ind w:left="7338" w:hanging="360"/>
      </w:pPr>
      <w:rPr/>
    </w:lvl>
    <w:lvl w:ilvl="7">
      <w:start w:val="0"/>
      <w:numFmt w:val="bullet"/>
      <w:lvlText w:val="•"/>
      <w:lvlJc w:val="left"/>
      <w:pPr>
        <w:ind w:left="8271" w:hanging="360"/>
      </w:pPr>
      <w:rPr/>
    </w:lvl>
    <w:lvl w:ilvl="8">
      <w:start w:val="0"/>
      <w:numFmt w:val="bullet"/>
      <w:lvlText w:val="•"/>
      <w:lvlJc w:val="left"/>
      <w:pPr>
        <w:ind w:left="9204" w:hanging="360"/>
      </w:pPr>
      <w:rPr/>
    </w:lvl>
  </w:abstractNum>
  <w:abstractNum w:abstractNumId="7">
    <w:lvl w:ilvl="0">
      <w:start w:val="1"/>
      <w:numFmt w:val="lowerLetter"/>
      <w:lvlText w:val="%1)"/>
      <w:lvlJc w:val="left"/>
      <w:pPr>
        <w:ind w:left="1735" w:hanging="720"/>
      </w:pPr>
      <w:rPr>
        <w:rFonts w:ascii="Calibri" w:cs="Calibri" w:eastAsia="Calibri" w:hAnsi="Calibri"/>
        <w:b w:val="0"/>
        <w:bCs w:val="0"/>
        <w:i w:val="0"/>
        <w:iCs w:val="0"/>
        <w:sz w:val="22"/>
        <w:szCs w:val="22"/>
        <w:highlight w:val="green"/>
      </w:rPr>
    </w:lvl>
    <w:lvl w:ilvl="1">
      <w:start w:val="0"/>
      <w:numFmt w:val="bullet"/>
      <w:lvlText w:val="-"/>
      <w:lvlJc w:val="left"/>
      <w:pPr>
        <w:ind w:left="1585" w:hanging="360"/>
      </w:pPr>
      <w:rPr>
        <w:rFonts w:ascii="Calibri" w:cs="Calibri" w:eastAsia="Calibri" w:hAnsi="Calibri"/>
        <w:b w:val="0"/>
        <w:bCs w:val="0"/>
        <w:i w:val="0"/>
        <w:iCs w:val="0"/>
        <w:sz w:val="22"/>
        <w:szCs w:val="22"/>
      </w:rPr>
    </w:lvl>
    <w:lvl w:ilvl="2">
      <w:start w:val="0"/>
      <w:numFmt w:val="bullet"/>
      <w:lvlText w:val="•"/>
      <w:lvlJc w:val="left"/>
      <w:pPr>
        <w:ind w:left="2776" w:hanging="360"/>
      </w:pPr>
      <w:rPr/>
    </w:lvl>
    <w:lvl w:ilvl="3">
      <w:start w:val="0"/>
      <w:numFmt w:val="bullet"/>
      <w:lvlText w:val="•"/>
      <w:lvlJc w:val="left"/>
      <w:pPr>
        <w:ind w:left="3813" w:hanging="360"/>
      </w:pPr>
      <w:rPr/>
    </w:lvl>
    <w:lvl w:ilvl="4">
      <w:start w:val="0"/>
      <w:numFmt w:val="bullet"/>
      <w:lvlText w:val="•"/>
      <w:lvlJc w:val="left"/>
      <w:pPr>
        <w:ind w:left="4850" w:hanging="360"/>
      </w:pPr>
      <w:rPr/>
    </w:lvl>
    <w:lvl w:ilvl="5">
      <w:start w:val="0"/>
      <w:numFmt w:val="bullet"/>
      <w:lvlText w:val="•"/>
      <w:lvlJc w:val="left"/>
      <w:pPr>
        <w:ind w:left="5886" w:hanging="360"/>
      </w:pPr>
      <w:rPr/>
    </w:lvl>
    <w:lvl w:ilvl="6">
      <w:start w:val="0"/>
      <w:numFmt w:val="bullet"/>
      <w:lvlText w:val="•"/>
      <w:lvlJc w:val="left"/>
      <w:pPr>
        <w:ind w:left="6923" w:hanging="360"/>
      </w:pPr>
      <w:rPr/>
    </w:lvl>
    <w:lvl w:ilvl="7">
      <w:start w:val="0"/>
      <w:numFmt w:val="bullet"/>
      <w:lvlText w:val="•"/>
      <w:lvlJc w:val="left"/>
      <w:pPr>
        <w:ind w:left="7960" w:hanging="360"/>
      </w:pPr>
      <w:rPr/>
    </w:lvl>
    <w:lvl w:ilvl="8">
      <w:start w:val="0"/>
      <w:numFmt w:val="bullet"/>
      <w:lvlText w:val="•"/>
      <w:lvlJc w:val="left"/>
      <w:pPr>
        <w:ind w:left="8996"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730"/>
    </w:pPr>
    <w:rPr>
      <w:b w:val="1"/>
      <w:bCs w:val="1"/>
      <w:sz w:val="24"/>
      <w:szCs w:val="24"/>
    </w:rPr>
  </w:style>
  <w:style w:type="paragraph" w:styleId="Heading2">
    <w:name w:val="heading 2"/>
    <w:basedOn w:val="Normal"/>
    <w:next w:val="Normal"/>
    <w:pPr>
      <w:ind w:left="1015"/>
    </w:pPr>
    <w:rPr>
      <w:sz w:val="24"/>
      <w:szCs w:val="24"/>
    </w:rPr>
  </w:style>
  <w:style w:type="paragraph" w:styleId="Heading3">
    <w:name w:val="heading 3"/>
    <w:basedOn w:val="Normal"/>
    <w:next w:val="Normal"/>
    <w:pPr>
      <w:ind w:left="1734" w:hanging="719"/>
    </w:pPr>
    <w:rPr>
      <w:b w:val="1"/>
      <w:bCs w:val="1"/>
    </w:rPr>
  </w:style>
  <w:style w:type="paragraph" w:styleId="Heading4">
    <w:name w:val="heading 4"/>
    <w:basedOn w:val="Normal"/>
    <w:next w:val="Normal"/>
    <w:pPr>
      <w:ind w:left="1015"/>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style>
  <w:style w:type="paragraph" w:styleId="Prrafodelista">
    <w:name w:val="List Paragraph"/>
    <w:basedOn w:val="Normal"/>
    <w:uiPriority w:val="1"/>
    <w:qFormat w:val="1"/>
    <w:pPr>
      <w:ind w:left="1734" w:hanging="719"/>
    </w:pPr>
  </w:style>
  <w:style w:type="paragraph" w:styleId="TableParagraph" w:customStyle="1">
    <w:name w:val="Table Paragraph"/>
    <w:basedOn w:val="Normal"/>
    <w:uiPriority w:val="1"/>
    <w:qFormat w:val="1"/>
  </w:style>
  <w:style w:type="paragraph" w:styleId="Encabezado">
    <w:name w:val="header"/>
    <w:basedOn w:val="Normal"/>
    <w:link w:val="EncabezadoCar"/>
    <w:uiPriority w:val="99"/>
    <w:unhideWhenUsed w:val="1"/>
    <w:rsid w:val="00ED70C0"/>
    <w:pPr>
      <w:tabs>
        <w:tab w:val="center" w:pos="4252"/>
        <w:tab w:val="right" w:pos="8504"/>
      </w:tabs>
    </w:pPr>
  </w:style>
  <w:style w:type="character" w:styleId="EncabezadoCar" w:customStyle="1">
    <w:name w:val="Encabezado Car"/>
    <w:basedOn w:val="Fuentedeprrafopredeter"/>
    <w:link w:val="Encabezado"/>
    <w:uiPriority w:val="99"/>
    <w:rsid w:val="00ED70C0"/>
    <w:rPr>
      <w:rFonts w:ascii="Calibri" w:cs="Calibri" w:eastAsia="Calibri" w:hAnsi="Calibri"/>
      <w:lang w:val="es-ES"/>
    </w:rPr>
  </w:style>
  <w:style w:type="paragraph" w:styleId="Piedepgina">
    <w:name w:val="footer"/>
    <w:basedOn w:val="Normal"/>
    <w:link w:val="PiedepginaCar"/>
    <w:uiPriority w:val="99"/>
    <w:unhideWhenUsed w:val="1"/>
    <w:rsid w:val="00ED70C0"/>
    <w:pPr>
      <w:tabs>
        <w:tab w:val="center" w:pos="4252"/>
        <w:tab w:val="right" w:pos="8504"/>
      </w:tabs>
    </w:pPr>
  </w:style>
  <w:style w:type="character" w:styleId="PiedepginaCar" w:customStyle="1">
    <w:name w:val="Pie de página Car"/>
    <w:basedOn w:val="Fuentedeprrafopredeter"/>
    <w:link w:val="Piedepgina"/>
    <w:uiPriority w:val="99"/>
    <w:rsid w:val="00ED70C0"/>
    <w:rPr>
      <w:rFonts w:ascii="Calibri" w:cs="Calibri" w:eastAsia="Calibri" w:hAnsi="Calibri"/>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mpraspublicas.gob.ec/ProcesoContratacion/compras/RCC/RccFrmBuscarCpcEnCatalogo.cpe" TargetMode="External"/><Relationship Id="rId8" Type="http://schemas.openxmlformats.org/officeDocument/2006/relationships/hyperlink" Target="https://www.compraspublicas.gob.ec/ProcesoContratacion/compras/RCC/RccFrmBuscarCpcEnCatalogo.cp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xaVLF4bBTHBf5QpZhSzvyPqrPw==">CgMxLjAyDmguZ21rcnQ0b3huMHM1Mg5oLmQ0bWs0c29hZjBhbzIOaC51ajZvcWxrZGI5a2kyDmguODU2aWlmM204ZnFjMg5oLmdldjZvbHUwbWI3dTIOaC4xbXdmbnF0ems5bGoyDmgucHRmMzVwMm56czdpMg5oLjlvb3VxdXFiZXFyeDIOaC5ueHE4bTVrY2JnazA4AHIhMUotdFdCRlZZaGZ6a1hVcko3bkNyajktM0Z1TlVHRkpH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2025-12-08T17:43:00Z</dcterms:created>
  <dc:creator>Maria Gabriela Cobos Macas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Producer">
    <vt:lpwstr>Skia/PDF m141 Google Docs Renderer</vt:lpwstr>
  </property>
  <property fmtid="{D5CDD505-2E9C-101B-9397-08002B2CF9AE}" pid="4" name="LastSaved">
    <vt:filetime>2025-08-22T00:00:00Z</vt:filetime>
  </property>
</Properties>
</file>