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
        </w:tabs>
        <w:jc w:val="right"/>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Fecha de elaboración: Días-mes-año</w:t>
      </w:r>
      <w:r w:rsidDel="00000000" w:rsidR="00000000" w:rsidRPr="00000000">
        <w:rPr>
          <w:rtl w:val="0"/>
        </w:rPr>
      </w:r>
    </w:p>
    <w:p w:rsidR="00000000" w:rsidDel="00000000" w:rsidP="00000000" w:rsidRDefault="00000000" w:rsidRPr="00000000" w14:paraId="00000002">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ESPECIFICACIONES TÉCNICAS</w:t>
      </w:r>
    </w:p>
    <w:p w:rsidR="00000000" w:rsidDel="00000000" w:rsidP="00000000" w:rsidRDefault="00000000" w:rsidRPr="00000000" w14:paraId="00000004">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IMPORTACION SUPERIOR AL VALOR DE LA ÍNFIMA CUANTÍA </w:t>
      </w:r>
    </w:p>
    <w:p w:rsidR="00000000" w:rsidDel="00000000" w:rsidP="00000000" w:rsidRDefault="00000000" w:rsidRPr="00000000" w14:paraId="00000005">
      <w:pPr>
        <w:tabs>
          <w:tab w:val="left" w:leader="none" w:pos="142"/>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VERIFICACIÓN DE PRODUCCIÓN NACIONAL PARA BIENES</w:t>
      </w:r>
    </w:p>
    <w:p w:rsidR="00000000" w:rsidDel="00000000" w:rsidP="00000000" w:rsidRDefault="00000000" w:rsidRPr="00000000" w14:paraId="00000006">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NOTAS: </w:t>
      </w:r>
    </w:p>
    <w:p w:rsidR="00000000" w:rsidDel="00000000" w:rsidP="00000000" w:rsidRDefault="00000000" w:rsidRPr="00000000" w14:paraId="00000007">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 resaltado en </w:t>
      </w:r>
      <w:r w:rsidDel="00000000" w:rsidR="00000000" w:rsidRPr="00000000">
        <w:rPr>
          <w:rFonts w:ascii="Calibri" w:cs="Calibri" w:eastAsia="Calibri" w:hAnsi="Calibri"/>
          <w:sz w:val="22"/>
          <w:szCs w:val="22"/>
          <w:highlight w:val="green"/>
          <w:rtl w:val="0"/>
        </w:rPr>
        <w:t xml:space="preserve">verde</w:t>
      </w:r>
      <w:r w:rsidDel="00000000" w:rsidR="00000000" w:rsidRPr="00000000">
        <w:rPr>
          <w:rFonts w:ascii="Calibri" w:cs="Calibri" w:eastAsia="Calibri" w:hAnsi="Calibri"/>
          <w:sz w:val="22"/>
          <w:szCs w:val="22"/>
          <w:rtl w:val="0"/>
        </w:rPr>
        <w:t xml:space="preserve"> corresponde a la información que cada requirente debe indicar en función de cada proceso de contratación.</w:t>
      </w:r>
    </w:p>
    <w:p w:rsidR="00000000" w:rsidDel="00000000" w:rsidP="00000000" w:rsidRDefault="00000000" w:rsidRPr="00000000" w14:paraId="00000009">
      <w:pPr>
        <w:tabs>
          <w:tab w:val="left" w:leader="none" w:pos="142"/>
        </w:tabs>
        <w:spacing w:line="259"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A">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 resaltado en </w:t>
      </w:r>
      <w:r w:rsidDel="00000000" w:rsidR="00000000" w:rsidRPr="00000000">
        <w:rPr>
          <w:rFonts w:ascii="Calibri" w:cs="Calibri" w:eastAsia="Calibri" w:hAnsi="Calibri"/>
          <w:sz w:val="22"/>
          <w:szCs w:val="22"/>
          <w:highlight w:val="yellow"/>
          <w:rtl w:val="0"/>
        </w:rPr>
        <w:t xml:space="preserve">amarillo</w:t>
      </w:r>
      <w:r w:rsidDel="00000000" w:rsidR="00000000" w:rsidRPr="00000000">
        <w:rPr>
          <w:rFonts w:ascii="Calibri" w:cs="Calibri" w:eastAsia="Calibri" w:hAnsi="Calibri"/>
          <w:sz w:val="22"/>
          <w:szCs w:val="22"/>
          <w:rtl w:val="0"/>
        </w:rPr>
        <w:t xml:space="preserve"> corresponde a la base legal que sustenta cada numeral para conocimiento de las áreas requirentes, por lo que </w:t>
      </w:r>
      <w:r w:rsidDel="00000000" w:rsidR="00000000" w:rsidRPr="00000000">
        <w:rPr>
          <w:rFonts w:ascii="Calibri" w:cs="Calibri" w:eastAsia="Calibri" w:hAnsi="Calibri"/>
          <w:sz w:val="22"/>
          <w:szCs w:val="22"/>
          <w:u w:val="single"/>
          <w:rtl w:val="0"/>
        </w:rPr>
        <w:t xml:space="preserve">este texto no deberá constar en el documento final</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B">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OBJETO DE LA CONTRATACIÓN</w:t>
      </w:r>
    </w:p>
    <w:p w:rsidR="00000000" w:rsidDel="00000000" w:rsidP="00000000" w:rsidRDefault="00000000" w:rsidRPr="00000000" w14:paraId="0000000D">
      <w:pPr>
        <w:tabs>
          <w:tab w:val="left" w:leader="none" w:pos="142"/>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E">
      <w:pPr>
        <w:tabs>
          <w:tab w:val="left" w:leader="none" w:pos="142"/>
        </w:tabs>
        <w:ind w:left="14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XXXXXXXXXXXXXXXXXXXXXXXXXXXXXXXXXXXXXXXXXXXXXXXXXXXXXXXXXXXXXXXXXXXXXXXXXXXXX</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F">
      <w:pPr>
        <w:tabs>
          <w:tab w:val="left" w:leader="none" w:pos="142"/>
        </w:tabs>
        <w:ind w:left="142"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ind w:left="142" w:firstLine="0"/>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Es importante indicar que el objeto de contratación debe ser igual al que en el informe de necesidad.</w:t>
      </w:r>
      <w:r w:rsidDel="00000000" w:rsidR="00000000" w:rsidRPr="00000000">
        <w:rPr>
          <w:rtl w:val="0"/>
        </w:rPr>
      </w:r>
    </w:p>
    <w:p w:rsidR="00000000" w:rsidDel="00000000" w:rsidP="00000000" w:rsidRDefault="00000000" w:rsidRPr="00000000" w14:paraId="00000011">
      <w:pPr>
        <w:tabs>
          <w:tab w:val="left" w:leader="none" w:pos="142"/>
        </w:tabs>
        <w:jc w:val="both"/>
        <w:rPr>
          <w:rFonts w:ascii="Calibri" w:cs="Calibri" w:eastAsia="Calibri" w:hAnsi="Calibri"/>
          <w:sz w:val="22"/>
          <w:szCs w:val="22"/>
        </w:rPr>
      </w:pPr>
      <w:bookmarkStart w:colFirst="0" w:colLast="0" w:name="_heading=h.52kjvze3cedw" w:id="0"/>
      <w:bookmarkEnd w:id="0"/>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JUSTIFICACIÓN TECNICA DEL OBJETO DE CONTRATACIÓN</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4">
      <w:pPr>
        <w:tabs>
          <w:tab w:val="left" w:leader="none" w:pos="142"/>
        </w:tabs>
        <w:ind w:left="142" w:firstLine="0"/>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rtl w:val="0"/>
        </w:rPr>
        <w:t xml:space="preserve">Se ha determinado el objeto de contratación con base en los bienes</w:t>
      </w:r>
      <w:r w:rsidDel="00000000" w:rsidR="00000000" w:rsidRPr="00000000">
        <w:rPr>
          <w:rFonts w:ascii="Calibri" w:cs="Calibri" w:eastAsia="Calibri" w:hAnsi="Calibri"/>
          <w:sz w:val="22"/>
          <w:szCs w:val="22"/>
          <w:highlight w:val="green"/>
          <w:rtl w:val="0"/>
        </w:rPr>
        <w:t xml:space="preserve"> requeridos en el numeral 10, los cuales guardan una relación o vinculación razonable acorde a las necesidades institucionales</w:t>
      </w:r>
    </w:p>
    <w:p w:rsidR="00000000" w:rsidDel="00000000" w:rsidP="00000000" w:rsidRDefault="00000000" w:rsidRPr="00000000" w14:paraId="00000015">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CÓDIGO CLASIFICADOR CENTRAL DE PRODUCTOS</w:t>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ind w:left="28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ha realizado la búsqueda del código de clasificador central de productos aplicable para este objeto de contratación y en función del estudio de mercado, se establece que el CPC a utilizar en esta contratación es:</w:t>
      </w:r>
    </w:p>
    <w:p w:rsidR="00000000" w:rsidDel="00000000" w:rsidP="00000000" w:rsidRDefault="00000000" w:rsidRPr="00000000" w14:paraId="00000019">
      <w:pPr>
        <w:tabs>
          <w:tab w:val="left" w:leader="none" w:pos="142"/>
        </w:tabs>
        <w:rPr>
          <w:rFonts w:ascii="Calibri" w:cs="Calibri" w:eastAsia="Calibri" w:hAnsi="Calibri"/>
          <w:sz w:val="22"/>
          <w:szCs w:val="22"/>
        </w:rPr>
      </w:pPr>
      <w:r w:rsidDel="00000000" w:rsidR="00000000" w:rsidRPr="00000000">
        <w:rPr>
          <w:rtl w:val="0"/>
        </w:rPr>
      </w:r>
    </w:p>
    <w:tbl>
      <w:tblPr>
        <w:tblStyle w:val="Table1"/>
        <w:tblW w:w="93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7201"/>
        <w:tblGridChange w:id="0">
          <w:tblGrid>
            <w:gridCol w:w="2122"/>
            <w:gridCol w:w="7201"/>
          </w:tblGrid>
        </w:tblGridChange>
      </w:tblGrid>
      <w:tr>
        <w:trPr>
          <w:cantSplit w:val="0"/>
          <w:tblHeader w:val="0"/>
        </w:trPr>
        <w:tc>
          <w:tcPr/>
          <w:p w:rsidR="00000000" w:rsidDel="00000000" w:rsidP="00000000" w:rsidRDefault="00000000" w:rsidRPr="00000000" w14:paraId="0000001A">
            <w:pPr>
              <w:tabs>
                <w:tab w:val="left" w:leader="none" w:pos="14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CODIGO</w:t>
            </w:r>
          </w:p>
        </w:tc>
        <w:tc>
          <w:tcPr/>
          <w:p w:rsidR="00000000" w:rsidDel="00000000" w:rsidP="00000000" w:rsidRDefault="00000000" w:rsidRPr="00000000" w14:paraId="0000001B">
            <w:pPr>
              <w:tabs>
                <w:tab w:val="left" w:leader="none" w:pos="14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DESCRIPCIÓN</w:t>
            </w:r>
          </w:p>
        </w:tc>
      </w:tr>
      <w:tr>
        <w:trPr>
          <w:cantSplit w:val="0"/>
          <w:tblHeader w:val="0"/>
        </w:trPr>
        <w:tc>
          <w:tcPr/>
          <w:p w:rsidR="00000000" w:rsidDel="00000000" w:rsidP="00000000" w:rsidRDefault="00000000" w:rsidRPr="00000000" w14:paraId="0000001C">
            <w:pPr>
              <w:tabs>
                <w:tab w:val="left" w:leader="none" w:pos="142"/>
              </w:tabs>
              <w:jc w:val="center"/>
              <w:rPr>
                <w:rFonts w:ascii="Calibri" w:cs="Calibri" w:eastAsia="Calibri" w:hAnsi="Calibri"/>
                <w:highlight w:val="green"/>
              </w:rPr>
            </w:pPr>
            <w:r w:rsidDel="00000000" w:rsidR="00000000" w:rsidRPr="00000000">
              <w:rPr>
                <w:rFonts w:ascii="Calibri" w:cs="Calibri" w:eastAsia="Calibri" w:hAnsi="Calibri"/>
                <w:highlight w:val="green"/>
                <w:rtl w:val="0"/>
              </w:rPr>
              <w:t xml:space="preserve">XXXXXXXXX (nivel 9)</w:t>
            </w:r>
          </w:p>
        </w:tc>
        <w:tc>
          <w:tcPr/>
          <w:p w:rsidR="00000000" w:rsidDel="00000000" w:rsidP="00000000" w:rsidRDefault="00000000" w:rsidRPr="00000000" w14:paraId="0000001D">
            <w:pPr>
              <w:tabs>
                <w:tab w:val="left" w:leader="none" w:pos="142"/>
              </w:tabs>
              <w:jc w:val="both"/>
              <w:rPr>
                <w:rFonts w:ascii="Calibri" w:cs="Calibri" w:eastAsia="Calibri" w:hAnsi="Calibri"/>
                <w:highlight w:val="green"/>
              </w:rPr>
            </w:pPr>
            <w:r w:rsidDel="00000000" w:rsidR="00000000" w:rsidRPr="00000000">
              <w:rPr>
                <w:rFonts w:ascii="Calibri" w:cs="Calibri" w:eastAsia="Calibri" w:hAnsi="Calibri"/>
                <w:highlight w:val="green"/>
                <w:rtl w:val="0"/>
              </w:rPr>
              <w:t xml:space="preserve">XXXXXXXXXXXXXXXXXXXXXXX</w:t>
            </w:r>
          </w:p>
        </w:tc>
      </w:tr>
    </w:tbl>
    <w:p w:rsidR="00000000" w:rsidDel="00000000" w:rsidP="00000000" w:rsidRDefault="00000000" w:rsidRPr="00000000" w14:paraId="0000001E">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CPC </w:t>
      </w:r>
      <w:r w:rsidDel="00000000" w:rsidR="00000000" w:rsidRPr="00000000">
        <w:rPr>
          <w:rFonts w:ascii="Calibri" w:cs="Calibri" w:eastAsia="Calibri" w:hAnsi="Calibri"/>
          <w:sz w:val="22"/>
          <w:szCs w:val="22"/>
          <w:highlight w:val="green"/>
          <w:rtl w:val="0"/>
        </w:rPr>
        <w:t xml:space="preserve">no/sí</w:t>
      </w:r>
      <w:r w:rsidDel="00000000" w:rsidR="00000000" w:rsidRPr="00000000">
        <w:rPr>
          <w:rFonts w:ascii="Calibri" w:cs="Calibri" w:eastAsia="Calibri" w:hAnsi="Calibri"/>
          <w:sz w:val="22"/>
          <w:szCs w:val="22"/>
          <w:rtl w:val="0"/>
        </w:rPr>
        <w:t xml:space="preserve"> se encuentra restringido </w:t>
      </w:r>
    </w:p>
    <w:p w:rsidR="00000000" w:rsidDel="00000000" w:rsidP="00000000" w:rsidRDefault="00000000" w:rsidRPr="00000000" w14:paraId="00000020">
      <w:pPr>
        <w:tabs>
          <w:tab w:val="left" w:leader="none" w:pos="142"/>
        </w:tabs>
        <w:jc w:val="both"/>
        <w:rPr>
          <w:rFonts w:ascii="Calibri" w:cs="Calibri" w:eastAsia="Calibri" w:hAnsi="Calibri"/>
          <w:sz w:val="22"/>
          <w:szCs w:val="22"/>
          <w:highlight w:val="green"/>
        </w:rPr>
      </w:pPr>
      <w:hyperlink r:id="rId7">
        <w:r w:rsidDel="00000000" w:rsidR="00000000" w:rsidRPr="00000000">
          <w:rPr>
            <w:rFonts w:ascii="Calibri" w:cs="Calibri" w:eastAsia="Calibri" w:hAnsi="Calibri"/>
            <w:sz w:val="22"/>
            <w:szCs w:val="22"/>
            <w:u w:val="single"/>
            <w:rtl w:val="0"/>
          </w:rPr>
          <w:t xml:space="preserve">https://www.compraspublicas.gob.ec/ProcesoContratacion/compras/RCC/RccFrmBuscarCpcEnCatalogo.cpe</w:t>
        </w:r>
      </w:hyperlink>
      <w:r w:rsidDel="00000000" w:rsidR="00000000" w:rsidRPr="00000000">
        <w:rPr>
          <w:rFonts w:ascii="Calibri" w:cs="Calibri" w:eastAsia="Calibri" w:hAnsi="Calibri"/>
          <w:sz w:val="22"/>
          <w:szCs w:val="22"/>
          <w:highlight w:val="green"/>
          <w:rtl w:val="0"/>
        </w:rPr>
        <w:t xml:space="preserve"> </w:t>
      </w:r>
    </w:p>
    <w:p w:rsidR="00000000" w:rsidDel="00000000" w:rsidP="00000000" w:rsidRDefault="00000000" w:rsidRPr="00000000" w14:paraId="00000021">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(pegar la captura de pantalla de la búsqueda)</w:t>
      </w:r>
    </w:p>
    <w:p w:rsidR="00000000" w:rsidDel="00000000" w:rsidP="00000000" w:rsidRDefault="00000000" w:rsidRPr="00000000" w14:paraId="00000022">
      <w:pPr>
        <w:tabs>
          <w:tab w:val="left" w:leader="none" w:pos="142"/>
        </w:tabs>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BASE LEGAL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5">
      <w:pPr>
        <w:ind w:firstLine="284"/>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REGLAMENTO GENERAL A LA LEY ORGÁNICA DEL SISTEMA NACIONAL DE CONTRATACIÓN PÚBLICA</w:t>
      </w:r>
    </w:p>
    <w:p w:rsidR="00000000" w:rsidDel="00000000" w:rsidP="00000000" w:rsidRDefault="00000000" w:rsidRPr="00000000" w14:paraId="00000026">
      <w:pPr>
        <w:ind w:left="284"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7">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b w:val="1"/>
          <w:bCs w:val="1"/>
          <w:i w:val="1"/>
          <w:iCs w:val="1"/>
          <w:sz w:val="22"/>
          <w:szCs w:val="22"/>
          <w:rtl w:val="0"/>
        </w:rPr>
        <w:t xml:space="preserve">“Art. 6</w:t>
      </w:r>
      <w:r w:rsidDel="00000000" w:rsidR="00000000" w:rsidRPr="00000000">
        <w:rPr>
          <w:rFonts w:ascii="Calibri" w:cs="Calibri" w:eastAsia="Calibri" w:hAnsi="Calibri"/>
          <w:i w:val="1"/>
          <w:iCs w:val="1"/>
          <w:sz w:val="22"/>
          <w:szCs w:val="22"/>
          <w:rtl w:val="0"/>
        </w:rPr>
        <w:t xml:space="preserve">.- Adquisición a través de importación. - Para la adquisición de bienes, y que las entidades contratantes vayan a importar directamente, o para la contratación de servicios en el exterior a ejecutarse en territorio nacional, será necesario que la entidad realice previamente el trámite de verificación de producción nacional (VPN), conforme lo dispuesto en el presente Reglamento.</w:t>
      </w:r>
    </w:p>
    <w:p w:rsidR="00000000" w:rsidDel="00000000" w:rsidP="00000000" w:rsidRDefault="00000000" w:rsidRPr="00000000" w14:paraId="00000028">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9">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Para el caso previsto en el numeral 2 del artículo 38 de la Ley Orgánica del Sistema Nacional de Contratación Pública, no será necesaria la verificación de producción nacional.</w:t>
      </w:r>
    </w:p>
    <w:p w:rsidR="00000000" w:rsidDel="00000000" w:rsidP="00000000" w:rsidRDefault="00000000" w:rsidRPr="00000000" w14:paraId="0000002A">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B">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El Servicio Nacional de Contratación Pública emitirá mediante resolución motivada un listado de bienes y servicios categorizados por CPCs, que no tienen producción nacional registrada en la contratación pública. Los bienes o servicios que son parte de este listado se exceptuarán del proceso de verificación de producción nacional, pero será obligatorio realizar el trámite de solicitud de autorización de licencias de importación, según corresponda.</w:t>
      </w:r>
    </w:p>
    <w:p w:rsidR="00000000" w:rsidDel="00000000" w:rsidP="00000000" w:rsidRDefault="00000000" w:rsidRPr="00000000" w14:paraId="0000002C">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D">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En el caso de bienes, una vez que se realice la adquisición en el extranjero, se tramitará la solicitud de autorización de licencias de importación a través de la Ventanilla Única Ecuatoriana, mediante el uso del sistema ECUAPASS del Servicio Nacional de Aduana del Ecuador.</w:t>
      </w:r>
    </w:p>
    <w:p w:rsidR="00000000" w:rsidDel="00000000" w:rsidP="00000000" w:rsidRDefault="00000000" w:rsidRPr="00000000" w14:paraId="0000002E">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F">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La correcta aplicación de este artículo será de exclusiva responsabilidad de la entidad contratante y estará sujeto al control y verificación del Servicio Nacional de Contratación Pública, de conformidad con la normativa que se emita para tal efecto, De detectarse el mal uso de esta disposición, se podrá negar la autorización de la licencia en cualquier momento.</w:t>
      </w:r>
    </w:p>
    <w:p w:rsidR="00000000" w:rsidDel="00000000" w:rsidP="00000000" w:rsidRDefault="00000000" w:rsidRPr="00000000" w14:paraId="00000030">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1">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Para el caso de los bienes establecidos en el numeral 2 del artículo 38 de la LOSNCP, no se sujetarán al proceso de solicitud de autorización de licencias de importación a través de la Ventanilla Única Ecuatoriana. Para estos casos, el Servicio Nacional de Aduana del Ecuador, en coordinación con el Servicio Nacional de Contratación Pública, emitirá las regulaciones necesarias.”</w:t>
      </w:r>
    </w:p>
    <w:p w:rsidR="00000000" w:rsidDel="00000000" w:rsidP="00000000" w:rsidRDefault="00000000" w:rsidRPr="00000000" w14:paraId="00000032">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3">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Art. 7.- Publicación de verificación de producción nacional. - Las entidades contratantes publicarán, a través del Portal de Contratación Pública, la verificación de producción nacional, antes de iniciar procedimientos competitivos de selección en el extranjero, únicamente respecto de los requerimientos para la adquisición de bienes a importarse directamente, o para la contratación de servicios en el exterior a ejecutarse en territorio nacional. (…)”</w:t>
      </w:r>
    </w:p>
    <w:p w:rsidR="00000000" w:rsidDel="00000000" w:rsidP="00000000" w:rsidRDefault="00000000" w:rsidRPr="00000000" w14:paraId="00000034">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5">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“Art. 8.- Procedimiento.- La publicación deberá contener las especificaciones técnicas del bien a importarse o los términos de referencia del servicio a contratarse en el exterior, para este tipo de procedimiento no aplica pliegos, de conformidad con las normas y/o reglamentaciones técnicas emitidas por el Servicio Ecuatoriano de Normalización.</w:t>
      </w:r>
    </w:p>
    <w:p w:rsidR="00000000" w:rsidDel="00000000" w:rsidP="00000000" w:rsidRDefault="00000000" w:rsidRPr="00000000" w14:paraId="00000036">
      <w:pPr>
        <w:ind w:left="284" w:firstLine="0"/>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37">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De igual manera deberá seleccionar el código CPC que identifique el bien o servicio que requieren las entidades contratantes, el valor de umbral mínimo y los parámetros de calificación que deberán cumplir las manifestaciones de interés que presenten los proveedores, información que deberá constar en los términos de referencia o especificaciones técnicas.</w:t>
      </w:r>
    </w:p>
    <w:p w:rsidR="00000000" w:rsidDel="00000000" w:rsidP="00000000" w:rsidRDefault="00000000" w:rsidRPr="00000000" w14:paraId="00000038">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39">
      <w:pPr>
        <w:ind w:left="284" w:firstLine="0"/>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rtl w:val="0"/>
        </w:rPr>
        <w:t xml:space="preserve">Una vez publicado el procedimiento en el Portal de Contratación Pública, el sistema enviará la invitación a los proveedores que se encuentren habilitados en el Registro Único de Proveedores - RUP en la correspondiente categoría CPC del bien o servicio requerido.</w:t>
      </w:r>
      <w:r w:rsidDel="00000000" w:rsidR="00000000" w:rsidRPr="00000000">
        <w:rPr>
          <w:rtl w:val="0"/>
        </w:rPr>
      </w:r>
    </w:p>
    <w:p w:rsidR="00000000" w:rsidDel="00000000" w:rsidP="00000000" w:rsidRDefault="00000000" w:rsidRPr="00000000" w14:paraId="0000003A">
      <w:pPr>
        <w:ind w:left="284" w:firstLine="0"/>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3B">
      <w:pPr>
        <w:ind w:left="284" w:firstLine="0"/>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rtl w:val="0"/>
        </w:rPr>
        <w:t xml:space="preserve">Todo proveedor habilitado que esté en condiciones de fabricar o producir el bien o servicio requerido, sin perjuicio de haber sido invitado, enviará dentro del término máximo de tres (3) días contados a partir de la publicación, su manifestación de interés a través del Portal de Contratación Pública, la que deberá ser analizada por la entidad contratante.</w:t>
      </w:r>
      <w:r w:rsidDel="00000000" w:rsidR="00000000" w:rsidRPr="00000000">
        <w:rPr>
          <w:rtl w:val="0"/>
        </w:rPr>
      </w:r>
    </w:p>
    <w:p w:rsidR="00000000" w:rsidDel="00000000" w:rsidP="00000000" w:rsidRDefault="00000000" w:rsidRPr="00000000" w14:paraId="0000003C">
      <w:pPr>
        <w:ind w:left="284" w:firstLine="0"/>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rtl w:val="0"/>
        </w:rPr>
        <w:t xml:space="preserve">Dentro del término de cinco (5) días contados a partir del día siguiente a la fecha límite de recepción de las manifestaciones de interés, la entidad contratante deberá realizar el análisis correspondiente, que incluirá la verificación y cumplimiento de los siguientes aspectos para lo cual emitirá las actas correspondientes:</w:t>
      </w:r>
      <w:r w:rsidDel="00000000" w:rsidR="00000000" w:rsidRPr="00000000">
        <w:rPr>
          <w:rtl w:val="0"/>
        </w:rPr>
      </w:r>
    </w:p>
    <w:p w:rsidR="00000000" w:rsidDel="00000000" w:rsidP="00000000" w:rsidRDefault="00000000" w:rsidRPr="00000000" w14:paraId="0000003D">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1. Que el bien o servicio sea fabricado o producido en el Ecuador, por el oferente que envía la manifestación de interés;</w:t>
      </w:r>
    </w:p>
    <w:p w:rsidR="00000000" w:rsidDel="00000000" w:rsidP="00000000" w:rsidRDefault="00000000" w:rsidRPr="00000000" w14:paraId="0000003E">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2. Que el bien o servicio cumpla con las especificaciones técnicas o términos de referencia solicitados; y,</w:t>
      </w:r>
    </w:p>
    <w:p w:rsidR="00000000" w:rsidDel="00000000" w:rsidP="00000000" w:rsidRDefault="00000000" w:rsidRPr="00000000" w14:paraId="0000003F">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3. Capacidad de cumplimiento del contrato del proveedor en el plazo determinado por la entidad contratante, en caso de resultar adjudicado.</w:t>
      </w:r>
    </w:p>
    <w:p w:rsidR="00000000" w:rsidDel="00000000" w:rsidP="00000000" w:rsidRDefault="00000000" w:rsidRPr="00000000" w14:paraId="00000040">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Si la entidad contratante verifica que existe producción nacional, deberá iniciar el procedimiento de contratación que corresponda, de conformidad con la Ley Orgánica del Sistema Nacional de Contratación Pública y el presente Reglamento.</w:t>
      </w:r>
    </w:p>
    <w:p w:rsidR="00000000" w:rsidDel="00000000" w:rsidP="00000000" w:rsidRDefault="00000000" w:rsidRPr="00000000" w14:paraId="00000041">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2">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Los resultados de la verificación se publicarán en el Portal de Contratación Pública.</w:t>
      </w:r>
    </w:p>
    <w:p w:rsidR="00000000" w:rsidDel="00000000" w:rsidP="00000000" w:rsidRDefault="00000000" w:rsidRPr="00000000" w14:paraId="00000043">
      <w:pPr>
        <w:ind w:left="284" w:firstLine="0"/>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44">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Las entidades contratantes, una vez finalizado el procedimiento antes descrito y verificado que no existe producción nacional, deberán presentar la solicitud de autorización al SERCOP, previo a iniciar la importación de bienes o contratación de servicios en el exterior a ejecutarse en territorio nacional, adjuntando el resultado de manifestación de interés obtenido en el Portal de Contratación Pública.</w:t>
      </w:r>
    </w:p>
    <w:p w:rsidR="00000000" w:rsidDel="00000000" w:rsidP="00000000" w:rsidRDefault="00000000" w:rsidRPr="00000000" w14:paraId="00000045">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6">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En el caso de que no existan manifestaciones de interés o si las presentadas hubieran sido descalificadas, el SERCOP, una vez ingresada la solicitud de autorización, verificará en sus bases de datos o en otras con las que tenga interconexión, si existe producción nacional.</w:t>
      </w:r>
    </w:p>
    <w:p w:rsidR="00000000" w:rsidDel="00000000" w:rsidP="00000000" w:rsidRDefault="00000000" w:rsidRPr="00000000" w14:paraId="00000047">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8">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De no existir producción nacional, se autorizará la importación de bienes o contratación de servicios en el exterior a ejecutarse en territorio nacional.</w:t>
      </w:r>
    </w:p>
    <w:p w:rsidR="00000000" w:rsidDel="00000000" w:rsidP="00000000" w:rsidRDefault="00000000" w:rsidRPr="00000000" w14:paraId="00000049">
      <w:pPr>
        <w:ind w:left="284"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4A">
      <w:pPr>
        <w:ind w:left="284" w:firstLine="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El SERCOP, de ser el caso, otorgará la autorización de importación, en el término máximo de doce (12) días contados a partir de la presentación de la solicitud de autorización por parte de las entidades contratantes.”</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ANTECEDENTES </w:t>
      </w:r>
    </w:p>
    <w:p w:rsidR="00000000" w:rsidDel="00000000" w:rsidP="00000000" w:rsidRDefault="00000000" w:rsidRPr="00000000" w14:paraId="0000004D">
      <w:pPr>
        <w:tabs>
          <w:tab w:val="left" w:leader="none" w:pos="142"/>
        </w:tabs>
        <w:spacing w:after="11" w:line="248.00000000000006" w:lineRule="auto"/>
        <w:ind w:right="46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4E">
      <w:pPr>
        <w:tabs>
          <w:tab w:val="left" w:leader="none" w:pos="142"/>
        </w:tabs>
        <w:spacing w:after="11" w:line="248.00000000000006" w:lineRule="auto"/>
        <w:ind w:right="460" w:firstLine="142"/>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ab/>
        <w:t xml:space="preserve">Resumen del literal a) del numeral 3 (Situación actual) del informe de necesidad.</w:t>
      </w:r>
      <w:r w:rsidDel="00000000" w:rsidR="00000000" w:rsidRPr="00000000">
        <w:rPr>
          <w:rtl w:val="0"/>
        </w:rPr>
      </w:r>
    </w:p>
    <w:p w:rsidR="00000000" w:rsidDel="00000000" w:rsidP="00000000" w:rsidRDefault="00000000" w:rsidRPr="00000000" w14:paraId="0000004F">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OBJETIVOS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2">
      <w:pPr>
        <w:tabs>
          <w:tab w:val="left" w:leader="none" w:pos="142"/>
        </w:tabs>
        <w:ind w:left="72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6.1 Objetivo General – de ser el caso</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42"/>
        </w:tabs>
        <w:ind w:left="720"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4">
      <w:pPr>
        <w:tabs>
          <w:tab w:val="left" w:leader="none" w:pos="142"/>
        </w:tabs>
        <w:ind w:left="72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6.2 Objetivo Específico - de ser el caso</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ALCANCE </w:t>
      </w:r>
      <w:r w:rsidDel="00000000" w:rsidR="00000000" w:rsidRPr="00000000">
        <w:rPr>
          <w:rFonts w:ascii="Calibri" w:cs="Calibri" w:eastAsia="Calibri" w:hAnsi="Calibri"/>
          <w:b w:val="1"/>
          <w:bCs w:val="1"/>
          <w:sz w:val="22"/>
          <w:szCs w:val="22"/>
          <w:highlight w:val="yellow"/>
          <w:rtl w:val="0"/>
        </w:rPr>
        <w:t xml:space="preserve">(¿hasta dónde?)</w:t>
      </w:r>
      <w:r w:rsidDel="00000000" w:rsidR="00000000" w:rsidRPr="00000000">
        <w:rPr>
          <w:rtl w:val="0"/>
        </w:rPr>
      </w:r>
    </w:p>
    <w:p w:rsidR="00000000" w:rsidDel="00000000" w:rsidP="00000000" w:rsidRDefault="00000000" w:rsidRPr="00000000" w14:paraId="00000057">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8">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METODOLOGÍA DE TRABAJO (¿cómo debe trabajar el proveedor para la entrega del bien?)</w:t>
      </w:r>
    </w:p>
    <w:p w:rsidR="00000000" w:rsidDel="00000000" w:rsidP="00000000" w:rsidRDefault="00000000" w:rsidRPr="00000000" w14:paraId="0000005A">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B">
      <w:pPr>
        <w:tabs>
          <w:tab w:val="left" w:leader="none" w:pos="142"/>
        </w:tabs>
        <w:ind w:left="578" w:firstLine="142.00000000000003"/>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Detallar cronológicamente las actividades que debe realizar el proveedor para la entrega del bien.</w:t>
      </w:r>
      <w:r w:rsidDel="00000000" w:rsidR="00000000" w:rsidRPr="00000000">
        <w:rPr>
          <w:rtl w:val="0"/>
        </w:rPr>
      </w:r>
    </w:p>
    <w:p w:rsidR="00000000" w:rsidDel="00000000" w:rsidP="00000000" w:rsidRDefault="00000000" w:rsidRPr="00000000" w14:paraId="0000005C">
      <w:pPr>
        <w:tabs>
          <w:tab w:val="left" w:leader="none" w:pos="142"/>
        </w:tabs>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D">
      <w:pPr>
        <w:tabs>
          <w:tab w:val="left" w:leader="none" w:pos="142"/>
        </w:tabs>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INFORMACION QUE DISPONE LA ENTIDAD</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0">
      <w:pPr>
        <w:tabs>
          <w:tab w:val="left" w:leader="none" w:pos="142"/>
        </w:tabs>
        <w:ind w:left="720" w:firstLine="0"/>
        <w:rPr>
          <w:rFonts w:ascii="Calibri" w:cs="Calibri" w:eastAsia="Calibri" w:hAnsi="Calibri"/>
          <w:sz w:val="22"/>
          <w:szCs w:val="22"/>
          <w:highlight w:val="green"/>
        </w:rPr>
      </w:pPr>
      <w:bookmarkStart w:colFirst="0" w:colLast="0" w:name="_heading=h.z3wc6h4yeitg" w:id="1"/>
      <w:bookmarkEnd w:id="1"/>
      <w:r w:rsidDel="00000000" w:rsidR="00000000" w:rsidRPr="00000000">
        <w:rPr>
          <w:rFonts w:ascii="Calibri" w:cs="Calibri" w:eastAsia="Calibri" w:hAnsi="Calibri"/>
          <w:sz w:val="22"/>
          <w:szCs w:val="22"/>
          <w:highlight w:val="green"/>
          <w:rtl w:val="0"/>
        </w:rPr>
        <w:t xml:space="preserve">No/Si aplica </w:t>
      </w:r>
    </w:p>
    <w:p w:rsidR="00000000" w:rsidDel="00000000" w:rsidP="00000000" w:rsidRDefault="00000000" w:rsidRPr="00000000" w14:paraId="00000061">
      <w:pPr>
        <w:tabs>
          <w:tab w:val="left" w:leader="none" w:pos="142"/>
        </w:tabs>
        <w:ind w:left="720" w:firstLine="0"/>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62">
      <w:pPr>
        <w:tabs>
          <w:tab w:val="left" w:leader="none" w:pos="142"/>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ejemplo: Si se requiere adquirir insumos o repuesto de un bien, la información que posee Espol podría ser: Marca, modelo, serie, código de inventario, etc.</w:t>
      </w:r>
    </w:p>
    <w:p w:rsidR="00000000" w:rsidDel="00000000" w:rsidP="00000000" w:rsidRDefault="00000000" w:rsidRPr="00000000" w14:paraId="00000063">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ESPECIFICACIONES TÉCNICAS DE LOS BIENES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462.0" w:type="dxa"/>
        <w:jc w:val="left"/>
        <w:tblInd w:w="27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0"/>
        <w:gridCol w:w="1560"/>
        <w:gridCol w:w="4660"/>
        <w:gridCol w:w="1162"/>
        <w:gridCol w:w="1240"/>
        <w:tblGridChange w:id="0">
          <w:tblGrid>
            <w:gridCol w:w="840"/>
            <w:gridCol w:w="1560"/>
            <w:gridCol w:w="4660"/>
            <w:gridCol w:w="1162"/>
            <w:gridCol w:w="1240"/>
          </w:tblGrid>
        </w:tblGridChange>
      </w:tblGrid>
      <w:tr>
        <w:trPr>
          <w:cantSplit w:val="0"/>
          <w:trHeight w:val="520"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ítem</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CPC</w:t>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bien</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Cantidad</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Unidad</w:t>
            </w:r>
          </w:p>
        </w:tc>
      </w:tr>
      <w:tr>
        <w:trPr>
          <w:cantSplit w:val="0"/>
          <w:trHeight w:val="239"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ind w:right="-306"/>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RGLONSCP:” Art. 77 Especificaciones técnicas. - Para la elaboración de las especificaciones técnicas se considerará lo siguiente: Deben ser claras, completas e inequívocas; no deben presentar ambigüedades, ni contradicciones que puedan propiciar diferentes interpretaciones en una misma disposición, ni indicaciones parciales.</w:t>
      </w:r>
    </w:p>
    <w:p w:rsidR="00000000" w:rsidDel="00000000" w:rsidP="00000000" w:rsidRDefault="00000000" w:rsidRPr="00000000" w14:paraId="00000078">
      <w:pPr>
        <w:ind w:right="-306"/>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1. Para el caso de bienes, se establecerán en función de las propiedades de su uso y empleo, así como de sus características fundamentales, requisitos funcionales o tecnológicos, atendiendo los conceptos de capacidad, calidad y/o rendimiento, y de sostenibilidad en lo que fuera aplicable, para los que, de existir, se utilizarán rasgos técnicos, requisitos, símbolos y términos estandarizados;</w:t>
      </w:r>
    </w:p>
    <w:p w:rsidR="00000000" w:rsidDel="00000000" w:rsidP="00000000" w:rsidRDefault="00000000" w:rsidRPr="00000000" w14:paraId="00000079">
      <w:pPr>
        <w:ind w:right="-306"/>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u w:val="single"/>
          <w:rtl w:val="0"/>
        </w:rPr>
        <w:t xml:space="preserve">2. No se podrá hacer referencia a marcas de fábrica o de comercio, nombres o tipos comerciales, patentes, derechos de autor, diseños o tipos particulares, ni a determinados orígenes, productores o proveedores</w:t>
      </w:r>
      <w:r w:rsidDel="00000000" w:rsidR="00000000" w:rsidRPr="00000000">
        <w:rPr>
          <w:rFonts w:ascii="Calibri" w:cs="Calibri" w:eastAsia="Calibri" w:hAnsi="Calibri"/>
          <w:i w:val="1"/>
          <w:iCs w:val="1"/>
          <w:sz w:val="22"/>
          <w:szCs w:val="22"/>
          <w:highlight w:val="yellow"/>
          <w:rtl w:val="0"/>
        </w:rPr>
        <w:t xml:space="preserve">. Excepcionalmente, y de manera justificada, </w:t>
      </w:r>
      <w:r w:rsidDel="00000000" w:rsidR="00000000" w:rsidRPr="00000000">
        <w:rPr>
          <w:rFonts w:ascii="Calibri" w:cs="Calibri" w:eastAsia="Calibri" w:hAnsi="Calibri"/>
          <w:i w:val="1"/>
          <w:iCs w:val="1"/>
          <w:sz w:val="22"/>
          <w:szCs w:val="22"/>
          <w:highlight w:val="yellow"/>
          <w:u w:val="single"/>
          <w:rtl w:val="0"/>
        </w:rPr>
        <w:t xml:space="preserve">se podrá hacer dichas referencias para: la adquisición de repuestos o accesorios; y, en las contrataciones que impliquen el desarrollo o mejora de tecnologías ya existentes en la entidad contratante, como la utilización de patentes o marcas exclusivas o tecnologías que no admitan otras alternativas técnicas</w:t>
      </w:r>
      <w:r w:rsidDel="00000000" w:rsidR="00000000" w:rsidRPr="00000000">
        <w:rPr>
          <w:rFonts w:ascii="Calibri" w:cs="Calibri" w:eastAsia="Calibri" w:hAnsi="Calibri"/>
          <w:i w:val="1"/>
          <w:iCs w:val="1"/>
          <w:sz w:val="22"/>
          <w:szCs w:val="22"/>
          <w:highlight w:val="yellow"/>
          <w:rtl w:val="0"/>
        </w:rPr>
        <w:t xml:space="preserve">, en los casos que sea aplicable, la entidad hará constar en el pliego la expresión "o equivalente" u otra similar;</w:t>
      </w:r>
    </w:p>
    <w:p w:rsidR="00000000" w:rsidDel="00000000" w:rsidP="00000000" w:rsidRDefault="00000000" w:rsidRPr="00000000" w14:paraId="0000007A">
      <w:pPr>
        <w:ind w:right="-306"/>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7B">
      <w:pPr>
        <w:ind w:right="-306"/>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En este caso</w:t>
      </w:r>
      <w:r w:rsidDel="00000000" w:rsidR="00000000" w:rsidRPr="00000000">
        <w:rPr>
          <w:rFonts w:ascii="Calibri" w:cs="Calibri" w:eastAsia="Calibri" w:hAnsi="Calibri"/>
          <w:i w:val="1"/>
          <w:iCs w:val="1"/>
          <w:sz w:val="22"/>
          <w:szCs w:val="22"/>
          <w:highlight w:val="yellow"/>
          <w:u w:val="single"/>
          <w:rtl w:val="0"/>
        </w:rPr>
        <w:t xml:space="preserve">, la entidad contratante</w:t>
      </w:r>
      <w:r w:rsidDel="00000000" w:rsidR="00000000" w:rsidRPr="00000000">
        <w:rPr>
          <w:rFonts w:ascii="Calibri" w:cs="Calibri" w:eastAsia="Calibri" w:hAnsi="Calibri"/>
          <w:i w:val="1"/>
          <w:iCs w:val="1"/>
          <w:sz w:val="22"/>
          <w:szCs w:val="22"/>
          <w:highlight w:val="yellow"/>
          <w:rtl w:val="0"/>
        </w:rPr>
        <w:t xml:space="preserve"> deberá publicar la información respecto a la tecnológica existente y/o maquinaria, la cual </w:t>
      </w:r>
      <w:r w:rsidDel="00000000" w:rsidR="00000000" w:rsidRPr="00000000">
        <w:rPr>
          <w:rFonts w:ascii="Calibri" w:cs="Calibri" w:eastAsia="Calibri" w:hAnsi="Calibri"/>
          <w:i w:val="1"/>
          <w:iCs w:val="1"/>
          <w:sz w:val="22"/>
          <w:szCs w:val="22"/>
          <w:highlight w:val="yellow"/>
          <w:u w:val="single"/>
          <w:rtl w:val="0"/>
        </w:rPr>
        <w:t xml:space="preserve">deberá plasmarse en un informe técnico debidamente suscrito, el cual será publicado como información relevante</w:t>
      </w:r>
      <w:r w:rsidDel="00000000" w:rsidR="00000000" w:rsidRPr="00000000">
        <w:rPr>
          <w:rFonts w:ascii="Calibri" w:cs="Calibri" w:eastAsia="Calibri" w:hAnsi="Calibri"/>
          <w:i w:val="1"/>
          <w:iCs w:val="1"/>
          <w:sz w:val="22"/>
          <w:szCs w:val="22"/>
          <w:highlight w:val="yellow"/>
          <w:rtl w:val="0"/>
        </w:rPr>
        <w:t xml:space="preserv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El contratista deberá realizar la correcta instalación del bien y la comprobación de su óptimo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funcionamiento al momento de realizarse la entrega- recepción</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42"/>
        </w:tabs>
        <w:ind w:left="720" w:right="-306" w:firstLine="0"/>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42"/>
        </w:tabs>
        <w:ind w:left="720" w:right="-306" w:firstLine="0"/>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PLAZO CONTRACTUAL DE EJECUCIÓN </w:t>
      </w:r>
    </w:p>
    <w:p w:rsidR="00000000" w:rsidDel="00000000" w:rsidP="00000000" w:rsidRDefault="00000000" w:rsidRPr="00000000" w14:paraId="00000081">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tabs>
          <w:tab w:val="left" w:leader="none" w:pos="142"/>
        </w:tabs>
        <w:ind w:left="14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acuerdo con lo establecido en el artículo 355 del Reglamento General a la Ley Orgánica del Sistema Nacional de Contratación Pública (RGLOSNCP) el plazo contractual para este proceso es de: </w:t>
      </w:r>
      <w:r w:rsidDel="00000000" w:rsidR="00000000" w:rsidRPr="00000000">
        <w:rPr>
          <w:rFonts w:ascii="Calibri" w:cs="Calibri" w:eastAsia="Calibri" w:hAnsi="Calibri"/>
          <w:sz w:val="22"/>
          <w:szCs w:val="22"/>
          <w:highlight w:val="green"/>
          <w:rtl w:val="0"/>
        </w:rPr>
        <w:t xml:space="preserve">XX</w:t>
      </w:r>
      <w:r w:rsidDel="00000000" w:rsidR="00000000" w:rsidRPr="00000000">
        <w:rPr>
          <w:rFonts w:ascii="Calibri" w:cs="Calibri" w:eastAsia="Calibri" w:hAnsi="Calibri"/>
          <w:sz w:val="22"/>
          <w:szCs w:val="22"/>
          <w:rtl w:val="0"/>
        </w:rPr>
        <w:t xml:space="preserve"> días contados: </w:t>
      </w:r>
      <w:r w:rsidDel="00000000" w:rsidR="00000000" w:rsidRPr="00000000">
        <w:rPr>
          <w:rFonts w:ascii="Calibri" w:cs="Calibri" w:eastAsia="Calibri" w:hAnsi="Calibri"/>
          <w:sz w:val="22"/>
          <w:szCs w:val="22"/>
          <w:highlight w:val="green"/>
          <w:rtl w:val="0"/>
        </w:rPr>
        <w:t xml:space="preserve">a partir del día siguiente a la suscripción de la orden</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highlight w:val="green"/>
          <w:rtl w:val="0"/>
        </w:rPr>
        <w:t xml:space="preserve">a partir del día siguiente de la notificación por escrito por parte del administrador de la orden respecto de la disponibilidad del anticipo</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highlight w:val="green"/>
          <w:rtl w:val="0"/>
        </w:rPr>
        <w:t xml:space="preserve">desde cualquier otra condición de acuerdo a la naturaleza de la orden</w:t>
      </w:r>
      <w:r w:rsidDel="00000000" w:rsidR="00000000" w:rsidRPr="00000000">
        <w:rPr>
          <w:rtl w:val="0"/>
        </w:rPr>
      </w:r>
    </w:p>
    <w:p w:rsidR="00000000" w:rsidDel="00000000" w:rsidP="00000000" w:rsidRDefault="00000000" w:rsidRPr="00000000" w14:paraId="00000083">
      <w:pPr>
        <w:tabs>
          <w:tab w:val="left" w:leader="none" w:pos="142"/>
        </w:tabs>
        <w:ind w:left="142" w:firstLine="0"/>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84">
      <w:pPr>
        <w:tabs>
          <w:tab w:val="left" w:leader="none" w:pos="142"/>
        </w:tabs>
        <w:ind w:left="142" w:firstLine="0"/>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Descripción de otra condición de acuerdo a la naturaleza de la orden: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green"/>
          <w:rtl w:val="0"/>
        </w:rPr>
        <w:t xml:space="preserve">indicarla</w:t>
      </w:r>
      <w:r w:rsidDel="00000000" w:rsidR="00000000" w:rsidRPr="00000000">
        <w:rPr>
          <w:rtl w:val="0"/>
        </w:rPr>
      </w:r>
    </w:p>
    <w:p w:rsidR="00000000" w:rsidDel="00000000" w:rsidP="00000000" w:rsidRDefault="00000000" w:rsidRPr="00000000" w14:paraId="00000085">
      <w:pPr>
        <w:tabs>
          <w:tab w:val="left" w:leader="none" w:pos="142"/>
        </w:tabs>
        <w:ind w:left="142"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tabs>
          <w:tab w:val="left" w:leader="none" w:pos="142"/>
        </w:tabs>
        <w:ind w:left="14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plazo de vigencia de las </w:t>
      </w:r>
      <w:r w:rsidDel="00000000" w:rsidR="00000000" w:rsidRPr="00000000">
        <w:rPr>
          <w:rFonts w:ascii="Calibri" w:cs="Calibri" w:eastAsia="Calibri" w:hAnsi="Calibri"/>
          <w:sz w:val="22"/>
          <w:szCs w:val="22"/>
          <w:highlight w:val="green"/>
          <w:rtl w:val="0"/>
        </w:rPr>
        <w:t xml:space="preserve">licencias/suscripción/ es de XX días</w:t>
      </w:r>
      <w:r w:rsidDel="00000000" w:rsidR="00000000" w:rsidRPr="00000000">
        <w:rPr>
          <w:rFonts w:ascii="Calibri" w:cs="Calibri" w:eastAsia="Calibri" w:hAnsi="Calibri"/>
          <w:sz w:val="22"/>
          <w:szCs w:val="22"/>
          <w:rtl w:val="0"/>
        </w:rPr>
        <w:t xml:space="preserve">, contados a partir de </w:t>
      </w:r>
      <w:r w:rsidDel="00000000" w:rsidR="00000000" w:rsidRPr="00000000">
        <w:rPr>
          <w:rFonts w:ascii="Calibri" w:cs="Calibri" w:eastAsia="Calibri" w:hAnsi="Calibri"/>
          <w:sz w:val="22"/>
          <w:szCs w:val="22"/>
          <w:highlight w:val="green"/>
          <w:rtl w:val="0"/>
        </w:rPr>
        <w:t xml:space="preserve">XXXX</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7">
      <w:pPr>
        <w:tabs>
          <w:tab w:val="left" w:leader="none" w:pos="142"/>
        </w:tabs>
        <w:ind w:left="142"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tabs>
          <w:tab w:val="left" w:leader="none" w:pos="142"/>
        </w:tabs>
        <w:ind w:left="142" w:firstLine="0"/>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Cuando aplique: Se aclara que la activación/ suscripción deberá estar disponible en una fecha posterior a XXXX (fecha en que concluye la suscripción vigente).</w:t>
      </w:r>
      <w:r w:rsidDel="00000000" w:rsidR="00000000" w:rsidRPr="00000000">
        <w:rPr>
          <w:rtl w:val="0"/>
        </w:rPr>
      </w:r>
    </w:p>
    <w:p w:rsidR="00000000" w:rsidDel="00000000" w:rsidP="00000000" w:rsidRDefault="00000000" w:rsidRPr="00000000" w14:paraId="00000089">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tabs>
          <w:tab w:val="left" w:leader="none" w:pos="142"/>
        </w:tabs>
        <w:ind w:left="14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 </w:t>
        <w:tab/>
        <w:t xml:space="preserve">Tipo de plazo de ejecución de la orden: </w:t>
      </w:r>
      <w:r w:rsidDel="00000000" w:rsidR="00000000" w:rsidRPr="00000000">
        <w:rPr>
          <w:rFonts w:ascii="Calibri" w:cs="Calibri" w:eastAsia="Calibri" w:hAnsi="Calibri"/>
          <w:sz w:val="22"/>
          <w:szCs w:val="22"/>
          <w:highlight w:val="green"/>
          <w:rtl w:val="0"/>
        </w:rPr>
        <w:t xml:space="preserve">total o parcial</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1134" w:right="0" w:hanging="36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Detallar el plazo parcial en días (de ser el caso)</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FORMA Y CONDICIONES DE PAGO</w:t>
      </w:r>
    </w:p>
    <w:p w:rsidR="00000000" w:rsidDel="00000000" w:rsidP="00000000" w:rsidRDefault="00000000" w:rsidRPr="00000000" w14:paraId="0000008E">
      <w:pPr>
        <w:tabs>
          <w:tab w:val="left" w:leader="none" w:pos="142"/>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8F">
      <w:pPr>
        <w:tabs>
          <w:tab w:val="left" w:leader="none" w:pos="142"/>
        </w:tabs>
        <w:ind w:firstLine="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12.1 – Forma de pago</w:t>
      </w:r>
    </w:p>
    <w:p w:rsidR="00000000" w:rsidDel="00000000" w:rsidP="00000000" w:rsidRDefault="00000000" w:rsidRPr="00000000" w14:paraId="00000090">
      <w:pPr>
        <w:tabs>
          <w:tab w:val="left" w:leader="none" w:pos="142"/>
        </w:tabs>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pago se realizará de la siguiente manera: </w:t>
      </w:r>
    </w:p>
    <w:p w:rsidR="00000000" w:rsidDel="00000000" w:rsidP="00000000" w:rsidRDefault="00000000" w:rsidRPr="00000000" w14:paraId="00000091">
      <w:pPr>
        <w:numPr>
          <w:ilvl w:val="0"/>
          <w:numId w:val="9"/>
        </w:numPr>
        <w:pBdr>
          <w:top w:space="0" w:sz="0" w:val="nil"/>
          <w:left w:space="0" w:sz="0" w:val="nil"/>
          <w:bottom w:space="0" w:sz="0" w:val="nil"/>
          <w:right w:space="0" w:sz="0" w:val="nil"/>
          <w:between w:space="0" w:sz="0" w:val="nil"/>
        </w:pBdr>
        <w:tabs>
          <w:tab w:val="left" w:leader="none" w:pos="142"/>
        </w:tabs>
        <w:spacing w:after="160" w:line="259" w:lineRule="auto"/>
        <w:ind w:left="720" w:firstLine="0"/>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Opción 1</w:t>
      </w:r>
    </w:p>
    <w:p w:rsidR="00000000" w:rsidDel="00000000" w:rsidP="00000000" w:rsidRDefault="00000000" w:rsidRPr="00000000" w14:paraId="00000092">
      <w:pPr>
        <w:tabs>
          <w:tab w:val="left" w:leader="none" w:pos="142"/>
        </w:tabs>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Anticipo: </w:t>
      </w:r>
      <w:r w:rsidDel="00000000" w:rsidR="00000000" w:rsidRPr="00000000">
        <w:rPr>
          <w:rFonts w:ascii="Calibri" w:cs="Calibri" w:eastAsia="Calibri" w:hAnsi="Calibri"/>
          <w:sz w:val="22"/>
          <w:szCs w:val="22"/>
          <w:highlight w:val="green"/>
          <w:rtl w:val="0"/>
        </w:rPr>
        <w:t xml:space="preserve">SI – indicar el porcentaje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no podrá ser inferior al 20% ni superior al 35% del monto total de la contratación)</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42"/>
        </w:tabs>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Saldo: (considerar alguna de las siguientes opciones)</w:t>
      </w:r>
    </w:p>
    <w:p w:rsidR="00000000" w:rsidDel="00000000" w:rsidP="00000000" w:rsidRDefault="00000000" w:rsidRPr="00000000" w14:paraId="00000094">
      <w:pPr>
        <w:numPr>
          <w:ilvl w:val="1"/>
          <w:numId w:val="5"/>
        </w:numPr>
        <w:pBdr>
          <w:top w:space="0" w:sz="0" w:val="nil"/>
          <w:left w:space="0" w:sz="0" w:val="nil"/>
          <w:bottom w:space="0" w:sz="0" w:val="nil"/>
          <w:right w:space="0" w:sz="0" w:val="nil"/>
          <w:between w:space="0" w:sz="0" w:val="nil"/>
        </w:pBdr>
        <w:tabs>
          <w:tab w:val="left" w:leader="none" w:pos="142"/>
        </w:tabs>
        <w:spacing w:line="259" w:lineRule="auto"/>
        <w:ind w:left="128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Contra entrega </w:t>
      </w:r>
    </w:p>
    <w:p w:rsidR="00000000" w:rsidDel="00000000" w:rsidP="00000000" w:rsidRDefault="00000000" w:rsidRPr="00000000" w14:paraId="00000095">
      <w:pPr>
        <w:numPr>
          <w:ilvl w:val="1"/>
          <w:numId w:val="5"/>
        </w:numPr>
        <w:pBdr>
          <w:top w:space="0" w:sz="0" w:val="nil"/>
          <w:left w:space="0" w:sz="0" w:val="nil"/>
          <w:bottom w:space="0" w:sz="0" w:val="nil"/>
          <w:right w:space="0" w:sz="0" w:val="nil"/>
          <w:between w:space="0" w:sz="0" w:val="nil"/>
        </w:pBdr>
        <w:tabs>
          <w:tab w:val="left" w:leader="none" w:pos="142"/>
        </w:tabs>
        <w:spacing w:line="259" w:lineRule="auto"/>
        <w:ind w:left="1287" w:hanging="360"/>
        <w:jc w:val="both"/>
        <w:rPr>
          <w:rFonts w:ascii="Calibri" w:cs="Calibri" w:eastAsia="Calibri" w:hAnsi="Calibri"/>
          <w:sz w:val="22"/>
          <w:szCs w:val="22"/>
        </w:rPr>
      </w:pPr>
      <w:bookmarkStart w:colFirst="0" w:colLast="0" w:name="_heading=h.dx1a2lid8klx" w:id="2"/>
      <w:bookmarkEnd w:id="2"/>
      <w:r w:rsidDel="00000000" w:rsidR="00000000" w:rsidRPr="00000000">
        <w:rPr>
          <w:rFonts w:ascii="Calibri" w:cs="Calibri" w:eastAsia="Calibri" w:hAnsi="Calibri"/>
          <w:sz w:val="22"/>
          <w:szCs w:val="22"/>
          <w:rtl w:val="0"/>
        </w:rPr>
        <w:t xml:space="preserve">Otra: Mensual, trimestral, bimestral, etc.</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42"/>
        </w:tabs>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numPr>
          <w:ilvl w:val="0"/>
          <w:numId w:val="9"/>
        </w:numPr>
        <w:pBdr>
          <w:top w:space="0" w:sz="0" w:val="nil"/>
          <w:left w:space="0" w:sz="0" w:val="nil"/>
          <w:bottom w:space="0" w:sz="0" w:val="nil"/>
          <w:right w:space="0" w:sz="0" w:val="nil"/>
          <w:between w:space="0" w:sz="0" w:val="nil"/>
        </w:pBdr>
        <w:tabs>
          <w:tab w:val="left" w:leader="none" w:pos="142"/>
        </w:tabs>
        <w:spacing w:line="259" w:lineRule="auto"/>
        <w:ind w:left="720" w:firstLine="0"/>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Opción 2</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142"/>
        </w:tabs>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Anticipo: 0%</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42"/>
        </w:tabs>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Saldo (considerar alguna de las siguientes opciones)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tabs>
          <w:tab w:val="left" w:leader="none" w:pos="142"/>
        </w:tabs>
        <w:spacing w:line="259" w:lineRule="auto"/>
        <w:ind w:left="1287" w:hanging="140.999999999999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100% se cancelará contra la entrega del objeto de la contratación</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tabs>
          <w:tab w:val="left" w:leader="none" w:pos="142"/>
        </w:tabs>
        <w:spacing w:after="160" w:line="259" w:lineRule="auto"/>
        <w:ind w:left="1287" w:hanging="140.999999999999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Otros: Mensual, trimestral, bimestral, etc.</w:t>
      </w:r>
    </w:p>
    <w:p w:rsidR="00000000" w:rsidDel="00000000" w:rsidP="00000000" w:rsidRDefault="00000000" w:rsidRPr="00000000" w14:paraId="0000009C">
      <w:pPr>
        <w:tabs>
          <w:tab w:val="left" w:leader="none" w:pos="142"/>
        </w:tabs>
        <w:ind w:firstLine="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12.2. Procedimiento para la tramitación de pagos, con plazos de aprobación y pago.</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0" w:right="-16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el fin de dar cumplimiento a lo establecido en el numeral 11 del artículo Art. 83.- Contenido del RGLOSNCP, la ESPOL ha levantado el procedimiento “PCD-FIN-007 - PAGO DE PROVEEDORES- PROCESOS SERCOP” al cual deben alinearse todos los involucrados en el proceso. El documento será publicado en el portal de compras públicas del SERCOP.</w:t>
      </w:r>
    </w:p>
    <w:p w:rsidR="00000000" w:rsidDel="00000000" w:rsidP="00000000" w:rsidRDefault="00000000" w:rsidRPr="00000000" w14:paraId="0000009E">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F">
      <w:pPr>
        <w:tabs>
          <w:tab w:val="left" w:leader="none" w:pos="142"/>
        </w:tabs>
        <w:ind w:firstLine="14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12.3 Documentos habilitantes para el pago:</w:t>
      </w:r>
    </w:p>
    <w:p w:rsidR="00000000" w:rsidDel="00000000" w:rsidP="00000000" w:rsidRDefault="00000000" w:rsidRPr="00000000" w14:paraId="000000A0">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numPr>
          <w:ilvl w:val="0"/>
          <w:numId w:val="7"/>
        </w:numPr>
        <w:pBdr>
          <w:top w:space="0" w:sz="0" w:val="nil"/>
          <w:left w:space="0" w:sz="0" w:val="nil"/>
          <w:bottom w:space="0" w:sz="0" w:val="nil"/>
          <w:right w:space="0" w:sz="0" w:val="nil"/>
          <w:between w:space="0" w:sz="0" w:val="nil"/>
        </w:pBdr>
        <w:tabs>
          <w:tab w:val="left" w:leader="none" w:pos="142"/>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Solicitud de pago suscrita por el Administrador de la orden y dirigida al Gerente Financiero firmada electrónicamente.</w:t>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tabs>
          <w:tab w:val="left" w:leader="none" w:pos="142"/>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Acta de entrega recepción parcial/definitiva firmada </w:t>
      </w:r>
    </w:p>
    <w:p w:rsidR="00000000" w:rsidDel="00000000" w:rsidP="00000000" w:rsidRDefault="00000000" w:rsidRPr="00000000" w14:paraId="000000A3">
      <w:pPr>
        <w:numPr>
          <w:ilvl w:val="0"/>
          <w:numId w:val="7"/>
        </w:numPr>
        <w:pBdr>
          <w:top w:space="0" w:sz="0" w:val="nil"/>
          <w:left w:space="0" w:sz="0" w:val="nil"/>
          <w:bottom w:space="0" w:sz="0" w:val="nil"/>
          <w:right w:space="0" w:sz="0" w:val="nil"/>
          <w:between w:space="0" w:sz="0" w:val="nil"/>
        </w:pBdr>
        <w:tabs>
          <w:tab w:val="left" w:leader="none" w:pos="142"/>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Factura electrónica  </w:t>
      </w:r>
    </w:p>
    <w:p w:rsidR="00000000" w:rsidDel="00000000" w:rsidP="00000000" w:rsidRDefault="00000000" w:rsidRPr="00000000" w14:paraId="000000A4">
      <w:pPr>
        <w:numPr>
          <w:ilvl w:val="0"/>
          <w:numId w:val="7"/>
        </w:numPr>
        <w:pBdr>
          <w:top w:space="0" w:sz="0" w:val="nil"/>
          <w:left w:space="0" w:sz="0" w:val="nil"/>
          <w:bottom w:space="0" w:sz="0" w:val="nil"/>
          <w:right w:space="0" w:sz="0" w:val="nil"/>
          <w:between w:space="0" w:sz="0" w:val="nil"/>
        </w:pBdr>
        <w:tabs>
          <w:tab w:val="left" w:leader="none" w:pos="142"/>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Certificación presupuestaria</w:t>
      </w:r>
    </w:p>
    <w:p w:rsidR="00000000" w:rsidDel="00000000" w:rsidP="00000000" w:rsidRDefault="00000000" w:rsidRPr="00000000" w14:paraId="000000A5">
      <w:pPr>
        <w:numPr>
          <w:ilvl w:val="0"/>
          <w:numId w:val="7"/>
        </w:numPr>
        <w:pBdr>
          <w:top w:space="0" w:sz="0" w:val="nil"/>
          <w:left w:space="0" w:sz="0" w:val="nil"/>
          <w:bottom w:space="0" w:sz="0" w:val="nil"/>
          <w:right w:space="0" w:sz="0" w:val="nil"/>
          <w:between w:space="0" w:sz="0" w:val="nil"/>
        </w:pBdr>
        <w:tabs>
          <w:tab w:val="left" w:leader="none" w:pos="142"/>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Orden de compra</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42"/>
        </w:tabs>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existir pagos parciales, el pago final se efectuará contra entrega final del bien, y la suscripción del acta entrega – recepción definitiva.</w:t>
      </w:r>
    </w:p>
    <w:p w:rsidR="00000000" w:rsidDel="00000000" w:rsidP="00000000" w:rsidRDefault="00000000" w:rsidRPr="00000000" w14:paraId="000000A8">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9">
      <w:pPr>
        <w:tabs>
          <w:tab w:val="left" w:leader="none" w:pos="142"/>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12.4 Pagos indebidos:</w:t>
      </w:r>
    </w:p>
    <w:p w:rsidR="00000000" w:rsidDel="00000000" w:rsidP="00000000" w:rsidRDefault="00000000" w:rsidRPr="00000000" w14:paraId="000000AA">
      <w:pP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ESPOL se reserva el derecho de reclamar a la empresa contratada, en cualquier tiempo, antes o después de la entrega del bien,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rsidR="00000000" w:rsidDel="00000000" w:rsidP="00000000" w:rsidRDefault="00000000" w:rsidRPr="00000000" w14:paraId="000000AC">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bookmarkStart w:colFirst="0" w:colLast="0" w:name="_heading=h.v03wvm3b4n5" w:id="3"/>
      <w:bookmarkEnd w:id="3"/>
      <w:r w:rsidDel="00000000" w:rsidR="00000000" w:rsidRPr="00000000">
        <w:rPr>
          <w:rFonts w:ascii="Calibri" w:cs="Calibri" w:eastAsia="Calibri" w:hAnsi="Calibri"/>
          <w:b w:val="1"/>
          <w:bCs w:val="1"/>
          <w:sz w:val="22"/>
          <w:szCs w:val="22"/>
          <w:rtl w:val="0"/>
        </w:rPr>
        <w:t xml:space="preserve">PRESUPUESTO REFERENCIAL</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relación con lo establecido en los artículos 73 y 75 del Reglamento General de la Ley Orgánica del Sistema Nacional de Contratación Pública, se considerará como presupuesto referencial el siguiente:</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3"/>
        <w:tblW w:w="9324.0" w:type="dxa"/>
        <w:jc w:val="center"/>
        <w:tblLayout w:type="fixed"/>
        <w:tblLook w:val="0400"/>
      </w:tblPr>
      <w:tblGrid>
        <w:gridCol w:w="627"/>
        <w:gridCol w:w="1152"/>
        <w:gridCol w:w="2752"/>
        <w:gridCol w:w="941"/>
        <w:gridCol w:w="1011"/>
        <w:gridCol w:w="1288"/>
        <w:gridCol w:w="1553"/>
        <w:tblGridChange w:id="0">
          <w:tblGrid>
            <w:gridCol w:w="627"/>
            <w:gridCol w:w="1152"/>
            <w:gridCol w:w="2752"/>
            <w:gridCol w:w="941"/>
            <w:gridCol w:w="1011"/>
            <w:gridCol w:w="1288"/>
            <w:gridCol w:w="1553"/>
          </w:tblGrid>
        </w:tblGridChange>
      </w:tblGrid>
      <w:tr>
        <w:trPr>
          <w:cantSplit w:val="0"/>
          <w:trHeight w:val="858" w:hRule="atLeast"/>
          <w:tblHeader w:val="0"/>
        </w:trPr>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B1">
            <w:pPr>
              <w:ind w:left="31" w:firstLine="0"/>
              <w:jc w:val="center"/>
              <w:rPr>
                <w:rFonts w:ascii="Calibri" w:cs="Calibri" w:eastAsia="Calibri" w:hAnsi="Calibri"/>
              </w:rPr>
            </w:pPr>
            <w:r w:rsidDel="00000000" w:rsidR="00000000" w:rsidRPr="00000000">
              <w:rPr>
                <w:rFonts w:ascii="Calibri" w:cs="Calibri" w:eastAsia="Calibri" w:hAnsi="Calibri"/>
                <w:b w:val="1"/>
                <w:bCs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B2">
            <w:pPr>
              <w:jc w:val="center"/>
              <w:rPr>
                <w:rFonts w:ascii="Calibri" w:cs="Calibri" w:eastAsia="Calibri" w:hAnsi="Calibri"/>
              </w:rPr>
            </w:pPr>
            <w:r w:rsidDel="00000000" w:rsidR="00000000" w:rsidRPr="00000000">
              <w:rPr>
                <w:rFonts w:ascii="Calibri" w:cs="Calibri" w:eastAsia="Calibri" w:hAnsi="Calibri"/>
                <w:b w:val="1"/>
                <w:bCs w:val="1"/>
                <w:rtl w:val="0"/>
              </w:rPr>
              <w:t xml:space="preserve">CPC 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B3">
            <w:pPr>
              <w:jc w:val="center"/>
              <w:rPr>
                <w:rFonts w:ascii="Calibri" w:cs="Calibri" w:eastAsia="Calibri" w:hAnsi="Calibri"/>
              </w:rPr>
            </w:pPr>
            <w:r w:rsidDel="00000000" w:rsidR="00000000" w:rsidRPr="00000000">
              <w:rPr>
                <w:rFonts w:ascii="Calibri" w:cs="Calibri" w:eastAsia="Calibri" w:hAnsi="Calibri"/>
                <w:b w:val="1"/>
                <w:bCs w:val="1"/>
                <w:rtl w:val="0"/>
              </w:rPr>
              <w:t xml:space="preserve">Descripción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ae9f7" w:val="clear"/>
          </w:tcPr>
          <w:p w:rsidR="00000000" w:rsidDel="00000000" w:rsidP="00000000" w:rsidRDefault="00000000" w:rsidRPr="00000000" w14:paraId="000000B4">
            <w:pPr>
              <w:jc w:val="center"/>
              <w:rPr>
                <w:rFonts w:ascii="Calibri" w:cs="Calibri" w:eastAsia="Calibri" w:hAnsi="Calibri"/>
              </w:rPr>
            </w:pPr>
            <w:r w:rsidDel="00000000" w:rsidR="00000000" w:rsidRPr="00000000">
              <w:rPr>
                <w:rFonts w:ascii="Calibri" w:cs="Calibri" w:eastAsia="Calibri" w:hAnsi="Calibri"/>
                <w:b w:val="1"/>
                <w:bCs w:val="1"/>
                <w:rtl w:val="0"/>
              </w:rPr>
              <w:t xml:space="preserve">Unidad de medida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B5">
            <w:pPr>
              <w:jc w:val="center"/>
              <w:rPr>
                <w:rFonts w:ascii="Calibri" w:cs="Calibri" w:eastAsia="Calibri" w:hAnsi="Calibri"/>
              </w:rPr>
            </w:pPr>
            <w:r w:rsidDel="00000000" w:rsidR="00000000" w:rsidRPr="00000000">
              <w:rPr>
                <w:rFonts w:ascii="Calibri" w:cs="Calibri" w:eastAsia="Calibri" w:hAnsi="Calibri"/>
                <w:b w:val="1"/>
                <w:bCs w:val="1"/>
                <w:rtl w:val="0"/>
              </w:rPr>
              <w:t xml:space="preserve">Cantidad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ae9f7" w:val="clear"/>
          </w:tcPr>
          <w:p w:rsidR="00000000" w:rsidDel="00000000" w:rsidP="00000000" w:rsidRDefault="00000000" w:rsidRPr="00000000" w14:paraId="000000B6">
            <w:pPr>
              <w:jc w:val="center"/>
              <w:rPr>
                <w:rFonts w:ascii="Calibri" w:cs="Calibri" w:eastAsia="Calibri" w:hAnsi="Calibri"/>
              </w:rPr>
            </w:pPr>
            <w:r w:rsidDel="00000000" w:rsidR="00000000" w:rsidRPr="00000000">
              <w:rPr>
                <w:rFonts w:ascii="Calibri" w:cs="Calibri" w:eastAsia="Calibri" w:hAnsi="Calibri"/>
                <w:b w:val="1"/>
                <w:bCs w:val="1"/>
                <w:rtl w:val="0"/>
              </w:rPr>
              <w:t xml:space="preserve">Precio referencial unitario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ae9f7" w:val="clear"/>
          </w:tcPr>
          <w:p w:rsidR="00000000" w:rsidDel="00000000" w:rsidP="00000000" w:rsidRDefault="00000000" w:rsidRPr="00000000" w14:paraId="000000B7">
            <w:pPr>
              <w:jc w:val="center"/>
              <w:rPr>
                <w:rFonts w:ascii="Calibri" w:cs="Calibri" w:eastAsia="Calibri" w:hAnsi="Calibri"/>
              </w:rPr>
            </w:pPr>
            <w:r w:rsidDel="00000000" w:rsidR="00000000" w:rsidRPr="00000000">
              <w:rPr>
                <w:rFonts w:ascii="Calibri" w:cs="Calibri" w:eastAsia="Calibri" w:hAnsi="Calibri"/>
                <w:b w:val="1"/>
                <w:bCs w:val="1"/>
                <w:rtl w:val="0"/>
              </w:rPr>
              <w:t xml:space="preserve">Precio referencial subtotal</w:t>
            </w:r>
            <w:r w:rsidDel="00000000" w:rsidR="00000000" w:rsidRPr="00000000">
              <w:rPr>
                <w:rtl w:val="0"/>
              </w:rPr>
            </w:r>
          </w:p>
        </w:tc>
      </w:tr>
      <w:tr>
        <w:trPr>
          <w:cantSplit w:val="0"/>
          <w:trHeight w:val="5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right="184"/>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jc w:val="both"/>
              <w:rPr>
                <w:rFonts w:ascii="Calibri" w:cs="Calibri" w:eastAsia="Calibri" w:hAnsi="Calibri"/>
              </w:rPr>
            </w:pPr>
            <w:r w:rsidDel="00000000" w:rsidR="00000000" w:rsidRPr="00000000">
              <w:rPr>
                <w:rtl w:val="0"/>
              </w:rPr>
            </w:r>
          </w:p>
        </w:tc>
      </w:tr>
      <w:tr>
        <w:trPr>
          <w:cantSplit w:val="0"/>
          <w:trHeight w:val="352" w:hRule="atLeast"/>
          <w:tblHeader w:val="0"/>
        </w:trPr>
        <w:tc>
          <w:tcPr>
            <w:tcBorders>
              <w:top w:color="000000" w:space="0" w:sz="4" w:val="single"/>
            </w:tcBorders>
          </w:tcPr>
          <w:p w:rsidR="00000000" w:rsidDel="00000000" w:rsidP="00000000" w:rsidRDefault="00000000" w:rsidRPr="00000000" w14:paraId="000000BF">
            <w:pPr>
              <w:jc w:val="both"/>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C0">
            <w:pPr>
              <w:jc w:val="both"/>
              <w:rPr>
                <w:rFonts w:ascii="Calibri" w:cs="Calibri" w:eastAsia="Calibri" w:hAnsi="Calibri"/>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C1">
            <w:pPr>
              <w:jc w:val="both"/>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C2">
            <w:pPr>
              <w:jc w:val="both"/>
              <w:rPr>
                <w:rFonts w:ascii="Calibri" w:cs="Calibri" w:eastAsia="Calibri" w:hAnsi="Calibri"/>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0C3">
            <w:pPr>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both"/>
              <w:rPr>
                <w:rFonts w:ascii="Calibri" w:cs="Calibri" w:eastAsia="Calibri" w:hAnsi="Calibri"/>
              </w:rPr>
            </w:pPr>
            <w:r w:rsidDel="00000000" w:rsidR="00000000" w:rsidRPr="00000000">
              <w:rPr>
                <w:rFonts w:ascii="Calibri" w:cs="Calibri" w:eastAsia="Calibri" w:hAnsi="Calibri"/>
                <w:b w:val="1"/>
                <w:bCs w:val="1"/>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jc w:val="both"/>
              <w:rPr>
                <w:rFonts w:ascii="Calibri" w:cs="Calibri" w:eastAsia="Calibri" w:hAnsi="Calibri"/>
              </w:rPr>
            </w:pPr>
            <w:r w:rsidDel="00000000" w:rsidR="00000000" w:rsidRPr="00000000">
              <w:rPr>
                <w:rFonts w:ascii="Calibri" w:cs="Calibri" w:eastAsia="Calibri" w:hAnsi="Calibri"/>
                <w:b w:val="1"/>
                <w:bCs w:val="1"/>
                <w:rtl w:val="0"/>
              </w:rPr>
              <w:t xml:space="preserve">$ xxxx</w:t>
            </w:r>
            <w:r w:rsidDel="00000000" w:rsidR="00000000" w:rsidRPr="00000000">
              <w:rPr>
                <w:rtl w:val="0"/>
              </w:rPr>
            </w:r>
          </w:p>
        </w:tc>
      </w:tr>
    </w:tb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PRECIO DE LA OFERTA</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56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bienes deben ser nuevos de paquete.</w:t>
      </w:r>
    </w:p>
    <w:p w:rsidR="00000000" w:rsidDel="00000000" w:rsidP="00000000" w:rsidRDefault="00000000" w:rsidRPr="00000000" w14:paraId="000000CA">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567"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precio deberá incluir el transporte hasta el sitio de entrega en las instalaciones de la ESPOL.</w:t>
      </w:r>
    </w:p>
    <w:p w:rsidR="00000000" w:rsidDel="00000000" w:rsidP="00000000" w:rsidRDefault="00000000" w:rsidRPr="00000000" w14:paraId="000000CB">
      <w:pPr>
        <w:widowControl w:val="0"/>
        <w:tabs>
          <w:tab w:val="left" w:leader="none" w:pos="1734"/>
        </w:tabs>
        <w:ind w:left="77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LUGAR DE ENTREGA DE LOS BIENES</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E">
      <w:pPr>
        <w:tabs>
          <w:tab w:val="left" w:leader="none" w:pos="142"/>
        </w:tabs>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objeto del contrato debe ser entregado en la siguiente localidad:</w:t>
      </w:r>
    </w:p>
    <w:p w:rsidR="00000000" w:rsidDel="00000000" w:rsidP="00000000" w:rsidRDefault="00000000" w:rsidRPr="00000000" w14:paraId="000000CF">
      <w:pPr>
        <w:tabs>
          <w:tab w:val="left" w:leader="none" w:pos="142"/>
        </w:tabs>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tabs>
          <w:tab w:val="left" w:leader="none" w:pos="142"/>
        </w:tabs>
        <w:ind w:left="720" w:right="460" w:firstLine="0"/>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Provincia: </w:t>
      </w:r>
    </w:p>
    <w:p w:rsidR="00000000" w:rsidDel="00000000" w:rsidP="00000000" w:rsidRDefault="00000000" w:rsidRPr="00000000" w14:paraId="000000D1">
      <w:pPr>
        <w:tabs>
          <w:tab w:val="left" w:leader="none" w:pos="142"/>
        </w:tabs>
        <w:ind w:left="720" w:right="1279" w:firstLine="0"/>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Dirección: </w:t>
      </w:r>
    </w:p>
    <w:p w:rsidR="00000000" w:rsidDel="00000000" w:rsidP="00000000" w:rsidRDefault="00000000" w:rsidRPr="00000000" w14:paraId="000000D2">
      <w:pPr>
        <w:tabs>
          <w:tab w:val="left" w:leader="none" w:pos="142"/>
        </w:tabs>
        <w:ind w:left="720" w:right="1279" w:firstLine="0"/>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Dependencia / área: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3">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APLICA PRINCIPIO DE VIGENCIA TECNOLÓGICA</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142"/>
        </w:tabs>
        <w:ind w:left="720" w:firstLine="0"/>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Si o No aplica</w:t>
      </w:r>
    </w:p>
    <w:p w:rsidR="00000000" w:rsidDel="00000000" w:rsidP="00000000" w:rsidRDefault="00000000" w:rsidRPr="00000000" w14:paraId="000000D7">
      <w:pPr>
        <w:spacing w:after="240" w:before="240" w:lineRule="auto"/>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u w:val="single"/>
          <w:rtl w:val="0"/>
        </w:rPr>
        <w:t xml:space="preserve">CUANDO APLIQUE DEJAR EL SIGUIENTE TEXTO Y NUMERALES:</w:t>
      </w:r>
      <w:r w:rsidDel="00000000" w:rsidR="00000000" w:rsidRPr="00000000">
        <w:rPr>
          <w:rtl w:val="0"/>
        </w:rPr>
      </w:r>
    </w:p>
    <w:p w:rsidR="00000000" w:rsidDel="00000000" w:rsidP="00000000" w:rsidRDefault="00000000" w:rsidRPr="00000000" w14:paraId="000000D8">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sz w:val="22"/>
          <w:szCs w:val="22"/>
          <w:highlight w:val="yellow"/>
          <w:rtl w:val="0"/>
        </w:rPr>
        <w:t xml:space="preserve">De acuerdo con  lo establecido en el Art. 69 del RGLONSCP que señala: “</w:t>
      </w:r>
      <w:r w:rsidDel="00000000" w:rsidR="00000000" w:rsidRPr="00000000">
        <w:rPr>
          <w:rFonts w:ascii="Calibri" w:cs="Calibri" w:eastAsia="Calibri" w:hAnsi="Calibri"/>
          <w:i w:val="1"/>
          <w:iCs w:val="1"/>
          <w:sz w:val="22"/>
          <w:szCs w:val="22"/>
          <w:highlight w:val="yellow"/>
          <w:rtl w:val="0"/>
        </w:rPr>
        <w:t xml:space="preserve">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rsidR="00000000" w:rsidDel="00000000" w:rsidP="00000000" w:rsidRDefault="00000000" w:rsidRPr="00000000" w14:paraId="000000D9">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 </w:t>
      </w:r>
    </w:p>
    <w:p w:rsidR="00000000" w:rsidDel="00000000" w:rsidP="00000000" w:rsidRDefault="00000000" w:rsidRPr="00000000" w14:paraId="000000DA">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rsidR="00000000" w:rsidDel="00000000" w:rsidP="00000000" w:rsidRDefault="00000000" w:rsidRPr="00000000" w14:paraId="000000DB">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i w:val="1"/>
          <w:iCs w:val="1"/>
          <w:sz w:val="22"/>
          <w:szCs w:val="22"/>
          <w:highlight w:val="yellow"/>
          <w:rtl w:val="0"/>
        </w:rPr>
        <w:t xml:space="preserve">Art. 70.- Relación contrato principal y vigencia tecnológica.- Para la determinación del presupuesto referencial e inicio de la contratación se deberá incluir únicamente el costo del bien.</w:t>
      </w:r>
    </w:p>
    <w:p w:rsidR="00000000" w:rsidDel="00000000" w:rsidP="00000000" w:rsidRDefault="00000000" w:rsidRPr="00000000" w14:paraId="000000DD">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rsidR="00000000" w:rsidDel="00000000" w:rsidP="00000000" w:rsidRDefault="00000000" w:rsidRPr="00000000" w14:paraId="000000DE">
      <w:pPr>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El valor de los mantenimientos que se realicen en función a la vida útil del bien se comprometerá con cargo la garantía técnica que emita el contratista.</w:t>
      </w:r>
    </w:p>
    <w:p w:rsidR="00000000" w:rsidDel="00000000" w:rsidP="00000000" w:rsidRDefault="00000000" w:rsidRPr="00000000" w14:paraId="000000E0">
      <w:pPr>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En el caso de la prestación de los servicios de mantenimiento preventivo, las entidades contratantes deberán cancelar los valores correspondientes, que desglosarán el valor de la mano de obra y el valor de repuestos, una vez que se ha recibido a satisfacción el servicio y contra la presentación de la correspondiente factura.</w:t>
      </w:r>
    </w:p>
    <w:p w:rsidR="00000000" w:rsidDel="00000000" w:rsidP="00000000" w:rsidRDefault="00000000" w:rsidRPr="00000000" w14:paraId="000000E2">
      <w:pPr>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rsidR="00000000" w:rsidDel="00000000" w:rsidP="00000000" w:rsidRDefault="00000000" w:rsidRPr="00000000" w14:paraId="000000E4">
      <w:pPr>
        <w:jc w:val="both"/>
        <w:rPr>
          <w:rFonts w:ascii="Calibri" w:cs="Calibri" w:eastAsia="Calibri" w:hAnsi="Calibri"/>
          <w:i w:val="1"/>
          <w:iCs w:val="1"/>
          <w:sz w:val="22"/>
          <w:szCs w:val="22"/>
          <w:highlight w:val="yellow"/>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u w:val="single"/>
          <w:rtl w:val="0"/>
        </w:rPr>
        <w:t xml:space="preserve">No se requerirá efectuar procedimiento precontractual alguno para cubrir los costos adicionales de mantenimiento preventivo y correctivo que se requieran producto de la vigencia tecnológica.</w:t>
      </w:r>
      <w:r w:rsidDel="00000000" w:rsidR="00000000" w:rsidRPr="00000000">
        <w:rPr>
          <w:rFonts w:ascii="Calibri" w:cs="Calibri" w:eastAsia="Calibri" w:hAnsi="Calibri"/>
          <w:i w:val="1"/>
          <w:iCs w:val="1"/>
          <w:sz w:val="22"/>
          <w:szCs w:val="22"/>
          <w:highlight w:val="yellow"/>
          <w:rtl w:val="0"/>
        </w:rPr>
        <w:t xml:space="preserve">”</w:t>
      </w:r>
    </w:p>
    <w:p w:rsidR="00000000" w:rsidDel="00000000" w:rsidP="00000000" w:rsidRDefault="00000000" w:rsidRPr="00000000" w14:paraId="000000E6">
      <w:pPr>
        <w:pStyle w:val="Heading2"/>
        <w:keepNext w:val="0"/>
        <w:keepLines w:val="0"/>
        <w:spacing w:before="360" w:lineRule="auto"/>
        <w:jc w:val="both"/>
        <w:rPr>
          <w:rFonts w:ascii="Calibri" w:cs="Calibri" w:eastAsia="Calibri" w:hAnsi="Calibri"/>
          <w:b w:val="1"/>
          <w:bCs w:val="1"/>
          <w:color w:val="000000"/>
          <w:sz w:val="22"/>
          <w:szCs w:val="22"/>
        </w:rPr>
      </w:pPr>
      <w:bookmarkStart w:colFirst="0" w:colLast="0" w:name="_heading=h.1mwfnqtzk9lj" w:id="4"/>
      <w:bookmarkEnd w:id="4"/>
      <w:r w:rsidDel="00000000" w:rsidR="00000000" w:rsidRPr="00000000">
        <w:rPr>
          <w:rFonts w:ascii="Calibri" w:cs="Calibri" w:eastAsia="Calibri" w:hAnsi="Calibri"/>
          <w:b w:val="1"/>
          <w:bCs w:val="1"/>
          <w:color w:val="000000"/>
          <w:sz w:val="22"/>
          <w:szCs w:val="22"/>
          <w:rtl w:val="0"/>
        </w:rPr>
        <w:t xml:space="preserve">16.1 Vida Útil de los bienes (de ser el caso)</w:t>
      </w:r>
    </w:p>
    <w:p w:rsidR="00000000" w:rsidDel="00000000" w:rsidP="00000000" w:rsidRDefault="00000000" w:rsidRPr="00000000" w14:paraId="000000E7">
      <w:pPr>
        <w:spacing w:after="240" w:before="240" w:lineRule="auto"/>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Indicar los años de vida útil de los bienes señalados en la sección 10.- ESPECIFICACIONES TÉCNICAS DE LOS BIENES.</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GARANTÍAS </w:t>
      </w:r>
    </w:p>
    <w:p w:rsidR="00000000" w:rsidDel="00000000" w:rsidP="00000000" w:rsidRDefault="00000000" w:rsidRPr="00000000" w14:paraId="000000EA">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numPr>
          <w:ilvl w:val="1"/>
          <w:numId w:val="8"/>
        </w:numPr>
        <w:pBdr>
          <w:top w:space="0" w:sz="0" w:val="nil"/>
          <w:left w:space="0" w:sz="0" w:val="nil"/>
          <w:bottom w:space="0" w:sz="0" w:val="nil"/>
          <w:right w:space="0" w:sz="0" w:val="nil"/>
          <w:between w:space="0" w:sz="0" w:val="nil"/>
        </w:pBdr>
        <w:tabs>
          <w:tab w:val="left" w:leader="none" w:pos="142"/>
        </w:tabs>
        <w:spacing w:line="259" w:lineRule="auto"/>
        <w:ind w:left="435" w:hanging="151"/>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Garantía de fiel cumplimiento – FCC</w:t>
      </w:r>
    </w:p>
    <w:p w:rsidR="00000000" w:rsidDel="00000000" w:rsidP="00000000" w:rsidRDefault="00000000" w:rsidRPr="00000000" w14:paraId="000000EC">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No aplica.  </w:t>
      </w:r>
    </w:p>
    <w:p w:rsidR="00000000" w:rsidDel="00000000" w:rsidP="00000000" w:rsidRDefault="00000000" w:rsidRPr="00000000" w14:paraId="000000ED">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numPr>
          <w:ilvl w:val="1"/>
          <w:numId w:val="8"/>
        </w:numPr>
        <w:pBdr>
          <w:top w:space="0" w:sz="0" w:val="nil"/>
          <w:left w:space="0" w:sz="0" w:val="nil"/>
          <w:bottom w:space="0" w:sz="0" w:val="nil"/>
          <w:right w:space="0" w:sz="0" w:val="nil"/>
          <w:between w:space="0" w:sz="0" w:val="nil"/>
        </w:pBdr>
        <w:tabs>
          <w:tab w:val="left" w:leader="none" w:pos="142"/>
        </w:tabs>
        <w:spacing w:line="259" w:lineRule="auto"/>
        <w:ind w:left="435" w:hanging="151"/>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Garantía por anticipo</w:t>
      </w:r>
    </w:p>
    <w:p w:rsidR="00000000" w:rsidDel="00000000" w:rsidP="00000000" w:rsidRDefault="00000000" w:rsidRPr="00000000" w14:paraId="000000EF">
      <w:pPr>
        <w:tabs>
          <w:tab w:val="left" w:leader="none" w:pos="142"/>
        </w:tabs>
        <w:ind w:left="720" w:firstLine="0"/>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Si/No aplica</w:t>
      </w:r>
    </w:p>
    <w:p w:rsidR="00000000" w:rsidDel="00000000" w:rsidP="00000000" w:rsidRDefault="00000000" w:rsidRPr="00000000" w14:paraId="000000F0">
      <w:pPr>
        <w:tabs>
          <w:tab w:val="left" w:leader="none" w:pos="142"/>
        </w:tabs>
        <w:ind w:left="7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F1">
      <w:pPr>
        <w:spacing w:line="256" w:lineRule="auto"/>
        <w:ind w:left="720" w:firstLine="0"/>
        <w:rPr>
          <w:rFonts w:ascii="Calibri" w:cs="Calibri" w:eastAsia="Calibri" w:hAnsi="Calibri"/>
          <w:sz w:val="22"/>
          <w:szCs w:val="22"/>
          <w:highlight w:val="green"/>
          <w:u w:val="single"/>
        </w:rPr>
      </w:pPr>
      <w:r w:rsidDel="00000000" w:rsidR="00000000" w:rsidRPr="00000000">
        <w:rPr>
          <w:rFonts w:ascii="Calibri" w:cs="Calibri" w:eastAsia="Calibri" w:hAnsi="Calibri"/>
          <w:sz w:val="22"/>
          <w:szCs w:val="22"/>
          <w:highlight w:val="green"/>
          <w:u w:val="single"/>
          <w:rtl w:val="0"/>
        </w:rPr>
        <w:t xml:space="preserve">CUANDO APLIQUE DEJAR EL SIGUIENTE TEXTO:</w:t>
      </w:r>
    </w:p>
    <w:p w:rsidR="00000000" w:rsidDel="00000000" w:rsidP="00000000" w:rsidRDefault="00000000" w:rsidRPr="00000000" w14:paraId="000000F2">
      <w:pPr>
        <w:spacing w:line="256" w:lineRule="auto"/>
        <w:ind w:left="720" w:firstLine="0"/>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F3">
      <w:pPr>
        <w:spacing w:line="256" w:lineRule="auto"/>
        <w:ind w:left="720" w:firstLine="0"/>
        <w:rPr>
          <w:rFonts w:ascii="Calibri" w:cs="Calibri" w:eastAsia="Calibri" w:hAnsi="Calibri"/>
          <w:sz w:val="22"/>
          <w:szCs w:val="22"/>
          <w:u w:val="single"/>
        </w:rPr>
      </w:pPr>
      <w:r w:rsidDel="00000000" w:rsidR="00000000" w:rsidRPr="00000000">
        <w:rPr>
          <w:rFonts w:ascii="Calibri" w:cs="Calibri" w:eastAsia="Calibri" w:hAnsi="Calibri"/>
          <w:sz w:val="22"/>
          <w:szCs w:val="22"/>
          <w:highlight w:val="green"/>
          <w:rtl w:val="0"/>
        </w:rPr>
        <w:t xml:space="preserve">El contratista deberá rendir una garantía por igual valor del anticipo</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56" w:lineRule="auto"/>
        <w:ind w:left="435"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ind w:left="720" w:firstLine="0"/>
        <w:jc w:val="both"/>
        <w:rPr>
          <w:rFonts w:ascii="Calibri" w:cs="Calibri" w:eastAsia="Calibri" w:hAnsi="Calibri"/>
          <w:i w:val="1"/>
          <w:iCs w:val="1"/>
          <w:sz w:val="22"/>
          <w:szCs w:val="22"/>
        </w:rPr>
      </w:pPr>
      <w:bookmarkStart w:colFirst="0" w:colLast="0" w:name="_heading=h.t3ip3xg8vjy5" w:id="5"/>
      <w:bookmarkEnd w:id="5"/>
      <w:r w:rsidDel="00000000" w:rsidR="00000000" w:rsidRPr="00000000">
        <w:rPr>
          <w:rFonts w:ascii="Calibri" w:cs="Calibri" w:eastAsia="Calibri" w:hAnsi="Calibri"/>
          <w:i w:val="1"/>
          <w:iCs w:val="1"/>
          <w:sz w:val="22"/>
          <w:szCs w:val="22"/>
          <w:highlight w:val="yellow"/>
          <w:rtl w:val="0"/>
        </w:rPr>
        <w:t xml:space="preserve">“LOSNCP: Art. 86.- Garantía por Anticipo. -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recepción de los bienes u obras materia del contrato.”</w:t>
      </w:r>
      <w:r w:rsidDel="00000000" w:rsidR="00000000" w:rsidRPr="00000000">
        <w:rPr>
          <w:rtl w:val="0"/>
        </w:rPr>
      </w:r>
    </w:p>
    <w:p w:rsidR="00000000" w:rsidDel="00000000" w:rsidP="00000000" w:rsidRDefault="00000000" w:rsidRPr="00000000" w14:paraId="000000F6">
      <w:pPr>
        <w:tabs>
          <w:tab w:val="left" w:leader="none" w:pos="142"/>
        </w:tabs>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F7">
      <w:pPr>
        <w:numPr>
          <w:ilvl w:val="1"/>
          <w:numId w:val="8"/>
        </w:numPr>
        <w:pBdr>
          <w:top w:space="0" w:sz="0" w:val="nil"/>
          <w:left w:space="0" w:sz="0" w:val="nil"/>
          <w:bottom w:space="0" w:sz="0" w:val="nil"/>
          <w:right w:space="0" w:sz="0" w:val="nil"/>
          <w:between w:space="0" w:sz="0" w:val="nil"/>
        </w:pBdr>
        <w:tabs>
          <w:tab w:val="left" w:leader="none" w:pos="142"/>
        </w:tabs>
        <w:spacing w:line="259" w:lineRule="auto"/>
        <w:ind w:left="435" w:hanging="151"/>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Garantía técnica</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142"/>
        </w:tabs>
        <w:spacing w:line="259" w:lineRule="auto"/>
        <w:ind w:left="435"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9">
      <w:pPr>
        <w:tabs>
          <w:tab w:val="left" w:leader="none" w:pos="142"/>
        </w:tabs>
        <w:ind w:left="720" w:firstLine="0"/>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Si/No aplica</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UANDO APLIQUE DEJAR EL SIGUIENTE TEXTO:</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720" w:right="-2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contratista deberá presentar la Garantía Técnica de acuerdo con el Anexo CERTIFICADO DE GARANTIA TÉCNICA, la misma que deberá tener vigencia de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 meses/días/ años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contados a partir de la fecha de celebración del Acta de Entrega-Recepción de los bienes entregados a la ESPOL o cualquier otra condición que se establezca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virtud de que la garantía superará el tiempo de vigencia de la orden, el administrador será el responsable de vigilar el cumplimiento de dicha garantía.</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LOSNCP: Art. 87.- Garantía técnica.- En los contratos de </w:t>
      </w:r>
      <w:r w:rsidDel="00000000" w:rsidR="00000000" w:rsidRPr="00000000">
        <w:rPr>
          <w:rFonts w:ascii="Calibri" w:cs="Calibri" w:eastAsia="Calibri" w:hAnsi="Calibri"/>
          <w:b w:val="0"/>
          <w:bCs w:val="0"/>
          <w:i w:val="1"/>
          <w:iCs w:val="1"/>
          <w:smallCaps w:val="0"/>
          <w:strike w:val="0"/>
          <w:color w:val="000000"/>
          <w:sz w:val="22"/>
          <w:szCs w:val="22"/>
          <w:highlight w:val="yellow"/>
          <w:u w:val="single"/>
          <w:vertAlign w:val="baseline"/>
          <w:rtl w:val="0"/>
        </w:rPr>
        <w:t xml:space="preserve">adquisición, provisión o instalación de equipos, maquinaria o vehículos, o de obras que contemplen aquella provisión o instalación, o en los contratos que la entidad contratante, de manera motivada, considere pertinente</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para precautelar el interés institucional y asegurar la calidad y buen funcionamiento de los mismos, exigirá al momento de la recepción una garantía del fabricante, representante, distribuidor o vendedor autorizado, la que se mantendrá vigente de acuerdo con las estipulaciones establecidas en el contrato.</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Estas garantías son independientes y subsistirán luego de cumplida la obligación principal.</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De no presentarse esta garantía, el contratista entregará una de las previstas en esta Ley, por igual valor del bien a suministrarse, de conformidad con lo establecido en los pliegos y en el contrato.</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En todos los casos, </w:t>
      </w:r>
      <w:r w:rsidDel="00000000" w:rsidR="00000000" w:rsidRPr="00000000">
        <w:rPr>
          <w:rFonts w:ascii="Calibri" w:cs="Calibri" w:eastAsia="Calibri" w:hAnsi="Calibri"/>
          <w:b w:val="0"/>
          <w:bCs w:val="0"/>
          <w:i w:val="1"/>
          <w:iCs w:val="1"/>
          <w:smallCaps w:val="0"/>
          <w:strike w:val="0"/>
          <w:color w:val="000000"/>
          <w:sz w:val="22"/>
          <w:szCs w:val="22"/>
          <w:highlight w:val="yellow"/>
          <w:u w:val="single"/>
          <w:vertAlign w:val="baseline"/>
          <w:rtl w:val="0"/>
        </w:rPr>
        <w:t xml:space="preserve">las garantías entrarán en vigencia a partir de la entrega recepción del bien</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El Reglamento podrá determinar mecanismos de respaldo de estas garantías, tales como: terceros especializados en la prestación de servicios de garantías, pólizas, cláusulas de incumplimiento, entre otros.”</w:t>
      </w:r>
      <w:r w:rsidDel="00000000" w:rsidR="00000000" w:rsidRPr="00000000">
        <w:rPr>
          <w:rtl w:val="0"/>
        </w:rPr>
      </w:r>
    </w:p>
    <w:p w:rsidR="00000000" w:rsidDel="00000000" w:rsidP="00000000" w:rsidRDefault="00000000" w:rsidRPr="00000000" w14:paraId="00000106">
      <w:pPr>
        <w:tabs>
          <w:tab w:val="left" w:leader="none" w:pos="142"/>
        </w:tabs>
        <w:ind w:right="-43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17.4 Garantía técnica por vigencia tecnológica. (dejar solo si aplica)</w:t>
      </w:r>
    </w:p>
    <w:p w:rsidR="00000000" w:rsidDel="00000000" w:rsidP="00000000" w:rsidRDefault="00000000" w:rsidRPr="00000000" w14:paraId="00000108">
      <w:pPr>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109">
      <w:pPr>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En aplicación de vigencia tecnológica, se deberá solicitar la garantía técnica de acuerdo a la vida útil.</w:t>
      </w:r>
    </w:p>
    <w:p w:rsidR="00000000" w:rsidDel="00000000" w:rsidP="00000000" w:rsidRDefault="00000000" w:rsidRPr="00000000" w14:paraId="0000010A">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Previo a la suscripción del contrato, el adjudicatario deberá presentar la Garantía Técnica de acuerdo con el ANEXO - CERTIFICADO DE GARANTÍA TÉCNICA POR VIGENCIA TECNOLÓGICA, la misma que deberá tener vigencia de </w:t>
      </w:r>
      <w:r w:rsidDel="00000000" w:rsidR="00000000" w:rsidRPr="00000000">
        <w:rPr>
          <w:rFonts w:ascii="Calibri" w:cs="Calibri" w:eastAsia="Calibri" w:hAnsi="Calibri"/>
          <w:sz w:val="22"/>
          <w:szCs w:val="22"/>
          <w:highlight w:val="green"/>
          <w:rtl w:val="0"/>
        </w:rPr>
        <w:t xml:space="preserve">xx</w:t>
      </w:r>
      <w:r w:rsidDel="00000000" w:rsidR="00000000" w:rsidRPr="00000000">
        <w:rPr>
          <w:rFonts w:ascii="Calibri" w:cs="Calibri" w:eastAsia="Calibri" w:hAnsi="Calibri"/>
          <w:sz w:val="22"/>
          <w:szCs w:val="22"/>
          <w:rtl w:val="0"/>
        </w:rPr>
        <w:t xml:space="preserve"> días/meses/años, contados a partir de la fecha de celebración del Acta de Entrega-Recepción definitiva de los bienes entregados a la ESPOL.</w:t>
      </w:r>
    </w:p>
    <w:p w:rsidR="00000000" w:rsidDel="00000000" w:rsidP="00000000" w:rsidRDefault="00000000" w:rsidRPr="00000000" w14:paraId="000001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virtud de que la garantía técnica superará el tiempo de vigencia del contrato, el administrador del contrato será el responsable de vigilar el cumplimiento de dicha garantía.</w:t>
      </w:r>
    </w:p>
    <w:p w:rsidR="00000000" w:rsidDel="00000000" w:rsidP="00000000" w:rsidRDefault="00000000" w:rsidRPr="00000000" w14:paraId="000001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D">
      <w:pPr>
        <w:spacing w:after="240" w:before="240" w:lineRule="auto"/>
        <w:jc w:val="both"/>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17.4.1 Metodología para pagos derivados de los mantenimientos de la garantía técnica de vigencia tecnológica</w:t>
      </w:r>
    </w:p>
    <w:p w:rsidR="00000000" w:rsidDel="00000000" w:rsidP="00000000" w:rsidRDefault="00000000" w:rsidRPr="00000000" w14:paraId="0000010E">
      <w:pPr>
        <w:numPr>
          <w:ilvl w:val="0"/>
          <w:numId w:val="10"/>
        </w:numPr>
        <w:spacing w:after="0" w:afterAutospacing="0" w:before="240" w:lineRule="auto"/>
        <w:ind w:left="720" w:hanging="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El administrador del contrato, previo a realizar el mantenimiento deberá solicitar al contratista los valores por concepto de la ejecución de los mantenimientos correspondientes.</w:t>
      </w:r>
    </w:p>
    <w:p w:rsidR="00000000" w:rsidDel="00000000" w:rsidP="00000000" w:rsidRDefault="00000000" w:rsidRPr="00000000" w14:paraId="0000010F">
      <w:pPr>
        <w:numPr>
          <w:ilvl w:val="0"/>
          <w:numId w:val="10"/>
        </w:numPr>
        <w:spacing w:after="0" w:afterAutospacing="0" w:before="0" w:beforeAutospacing="0" w:lineRule="auto"/>
        <w:ind w:left="720" w:hanging="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El contratista deberá remitir el detalle de los valores a ser cancelados por concepto del mantenimiento.</w:t>
      </w:r>
    </w:p>
    <w:p w:rsidR="00000000" w:rsidDel="00000000" w:rsidP="00000000" w:rsidRDefault="00000000" w:rsidRPr="00000000" w14:paraId="00000110">
      <w:pPr>
        <w:numPr>
          <w:ilvl w:val="0"/>
          <w:numId w:val="10"/>
        </w:numPr>
        <w:spacing w:after="0" w:afterAutospacing="0" w:before="0" w:beforeAutospacing="0" w:lineRule="auto"/>
        <w:ind w:left="720" w:hanging="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El Administrador del contrato solicitará a la gerencia financiera la emisión de la correspondiente certificación presupuestaria.</w:t>
      </w:r>
    </w:p>
    <w:p w:rsidR="00000000" w:rsidDel="00000000" w:rsidP="00000000" w:rsidRDefault="00000000" w:rsidRPr="00000000" w14:paraId="00000111">
      <w:pPr>
        <w:numPr>
          <w:ilvl w:val="0"/>
          <w:numId w:val="10"/>
        </w:numPr>
        <w:spacing w:after="0" w:afterAutospacing="0" w:before="0" w:beforeAutospacing="0" w:lineRule="auto"/>
        <w:ind w:left="720" w:hanging="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El administrador de contrato, una vez que se haya emitido la certificación presupuestaria, coordinará la ejecución de los mantenimientos.</w:t>
      </w:r>
    </w:p>
    <w:p w:rsidR="00000000" w:rsidDel="00000000" w:rsidP="00000000" w:rsidRDefault="00000000" w:rsidRPr="00000000" w14:paraId="00000112">
      <w:pPr>
        <w:numPr>
          <w:ilvl w:val="0"/>
          <w:numId w:val="10"/>
        </w:numPr>
        <w:spacing w:after="0" w:afterAutospacing="0" w:before="0" w:beforeAutospacing="0" w:lineRule="auto"/>
        <w:ind w:left="720" w:hanging="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Una vez realizado el mantenimiento, el Contratista deberá presentar un informe técnico del servicio realizado y la factura.</w:t>
      </w:r>
    </w:p>
    <w:p w:rsidR="00000000" w:rsidDel="00000000" w:rsidP="00000000" w:rsidRDefault="00000000" w:rsidRPr="00000000" w14:paraId="00000113">
      <w:pPr>
        <w:numPr>
          <w:ilvl w:val="0"/>
          <w:numId w:val="10"/>
        </w:numPr>
        <w:spacing w:after="0" w:afterAutospacing="0" w:before="0" w:beforeAutospacing="0" w:lineRule="auto"/>
        <w:ind w:left="720" w:hanging="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Una vez realizado el mantenimiento, el Administrador de contrato, solicitará el pago a la Gerencia Financiera.</w:t>
      </w:r>
    </w:p>
    <w:p w:rsidR="00000000" w:rsidDel="00000000" w:rsidP="00000000" w:rsidRDefault="00000000" w:rsidRPr="00000000" w14:paraId="00000114">
      <w:pPr>
        <w:numPr>
          <w:ilvl w:val="0"/>
          <w:numId w:val="10"/>
        </w:numPr>
        <w:spacing w:after="240" w:before="0" w:beforeAutospacing="0" w:lineRule="auto"/>
        <w:ind w:left="720" w:hanging="36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Toda vez que se cuente con el CUR de pago, el Administrador del contrato deberá publicar la información en el portal del SERCOP.</w:t>
      </w:r>
      <w:r w:rsidDel="00000000" w:rsidR="00000000" w:rsidRPr="00000000">
        <w:rPr>
          <w:rtl w:val="0"/>
        </w:rPr>
      </w:r>
    </w:p>
    <w:p w:rsidR="00000000" w:rsidDel="00000000" w:rsidP="00000000" w:rsidRDefault="00000000" w:rsidRPr="00000000" w14:paraId="00000115">
      <w:pPr>
        <w:tabs>
          <w:tab w:val="left" w:leader="none" w:pos="142"/>
        </w:tabs>
        <w:ind w:right="-433"/>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VIGENCIA DE LA OFERTA</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18">
      <w:pPr>
        <w:tabs>
          <w:tab w:val="left" w:leader="none" w:pos="142"/>
        </w:tabs>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acuerdo con lo establecido en el artículo 29 de la Ley Orgánica del Sistema Nacional de Contratación Pública, las ofertas estarán vigentes por </w:t>
      </w:r>
      <w:r w:rsidDel="00000000" w:rsidR="00000000" w:rsidRPr="00000000">
        <w:rPr>
          <w:rFonts w:ascii="Calibri" w:cs="Calibri" w:eastAsia="Calibri" w:hAnsi="Calibri"/>
          <w:b w:val="1"/>
          <w:bCs w:val="1"/>
          <w:sz w:val="22"/>
          <w:szCs w:val="22"/>
          <w:rtl w:val="0"/>
        </w:rPr>
        <w:t xml:space="preserve">90 </w:t>
      </w:r>
      <w:r w:rsidDel="00000000" w:rsidR="00000000" w:rsidRPr="00000000">
        <w:rPr>
          <w:rFonts w:ascii="Calibri" w:cs="Calibri" w:eastAsia="Calibri" w:hAnsi="Calibri"/>
          <w:sz w:val="22"/>
          <w:szCs w:val="22"/>
          <w:rtl w:val="0"/>
        </w:rPr>
        <w:t xml:space="preserve">días.</w:t>
      </w:r>
    </w:p>
    <w:p w:rsidR="00000000" w:rsidDel="00000000" w:rsidP="00000000" w:rsidRDefault="00000000" w:rsidRPr="00000000" w14:paraId="00000119">
      <w:pPr>
        <w:tabs>
          <w:tab w:val="left" w:leader="none" w:pos="142"/>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REAJUSTE DE PRECIOS</w:t>
      </w:r>
    </w:p>
    <w:p w:rsidR="00000000" w:rsidDel="00000000" w:rsidP="00000000" w:rsidRDefault="00000000" w:rsidRPr="00000000" w14:paraId="0000011B">
      <w:pPr>
        <w:tabs>
          <w:tab w:val="left" w:leader="none" w:pos="142"/>
        </w:tabs>
        <w:ind w:left="284" w:firstLine="436"/>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Si/No aplica</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1D">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ESTRATEGIAS DE LA ADQUISICION</w:t>
      </w:r>
    </w:p>
    <w:p w:rsidR="00000000" w:rsidDel="00000000" w:rsidP="00000000" w:rsidRDefault="00000000" w:rsidRPr="00000000" w14:paraId="0000011E">
      <w:pPr>
        <w:ind w:left="720" w:firstLine="0"/>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i w:val="1"/>
          <w:iCs w:val="1"/>
          <w:sz w:val="22"/>
          <w:szCs w:val="22"/>
          <w:highlight w:val="yellow"/>
          <w:rtl w:val="0"/>
        </w:rPr>
        <w:t xml:space="preserve">RGLOSNCP Art. 74 Análisis de mejor valor por dinero. - (…) Para definir la estrategia de adquisición, la entidad contratante deberá realizar un análisis que </w:t>
      </w:r>
      <w:r w:rsidDel="00000000" w:rsidR="00000000" w:rsidRPr="00000000">
        <w:rPr>
          <w:rFonts w:ascii="Calibri" w:cs="Calibri" w:eastAsia="Calibri" w:hAnsi="Calibri"/>
          <w:i w:val="1"/>
          <w:iCs w:val="1"/>
          <w:sz w:val="22"/>
          <w:szCs w:val="22"/>
          <w:highlight w:val="yellow"/>
          <w:u w:val="single"/>
          <w:rtl w:val="0"/>
        </w:rPr>
        <w:t xml:space="preserve">identifique la alternativa que permita maximizar los resultados del gasto público, considerando no solo el precio, sino también otros atributos relevantes como la calidad, sostenibilidad, innovación, costos del ciclo de vida, desempeño y funcionalidad</w:t>
      </w:r>
      <w:r w:rsidDel="00000000" w:rsidR="00000000" w:rsidRPr="00000000">
        <w:rPr>
          <w:rFonts w:ascii="Calibri" w:cs="Calibri" w:eastAsia="Calibri" w:hAnsi="Calibri"/>
          <w:i w:val="1"/>
          <w:iCs w:val="1"/>
          <w:sz w:val="22"/>
          <w:szCs w:val="22"/>
          <w:highlight w:val="yellow"/>
          <w:rtl w:val="0"/>
        </w:rPr>
        <w:t xml:space="preserve">…”</w:t>
      </w:r>
    </w:p>
    <w:p w:rsidR="00000000" w:rsidDel="00000000" w:rsidP="00000000" w:rsidRDefault="00000000" w:rsidRPr="00000000" w14:paraId="0000011F">
      <w:pPr>
        <w:ind w:left="720" w:firstLine="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120">
      <w:pPr>
        <w:ind w:left="720" w:firstLine="0"/>
        <w:jc w:val="both"/>
        <w:rPr>
          <w:rFonts w:ascii="Calibri" w:cs="Calibri" w:eastAsia="Calibri" w:hAnsi="Calibri"/>
          <w:b w:val="1"/>
          <w:bCs w:val="1"/>
          <w:sz w:val="22"/>
          <w:szCs w:val="22"/>
          <w:highlight w:val="yellow"/>
        </w:rPr>
      </w:pPr>
      <w:r w:rsidDel="00000000" w:rsidR="00000000" w:rsidRPr="00000000">
        <w:rPr>
          <w:rFonts w:ascii="Calibri" w:cs="Calibri" w:eastAsia="Calibri" w:hAnsi="Calibri"/>
          <w:b w:val="1"/>
          <w:bCs w:val="1"/>
          <w:sz w:val="22"/>
          <w:szCs w:val="22"/>
          <w:highlight w:val="yellow"/>
          <w:rtl w:val="0"/>
        </w:rPr>
        <w:t xml:space="preserve">Ejemplo:</w:t>
      </w:r>
    </w:p>
    <w:p w:rsidR="00000000" w:rsidDel="00000000" w:rsidP="00000000" w:rsidRDefault="00000000" w:rsidRPr="00000000" w14:paraId="00000121">
      <w:pPr>
        <w:ind w:left="720" w:firstLine="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La adquisición del bien “xxxx” debe gestionarse mediante </w:t>
      </w:r>
      <w:r w:rsidDel="00000000" w:rsidR="00000000" w:rsidRPr="00000000">
        <w:rPr>
          <w:rFonts w:ascii="Calibri" w:cs="Calibri" w:eastAsia="Calibri" w:hAnsi="Calibri"/>
          <w:b w:val="1"/>
          <w:bCs w:val="1"/>
          <w:sz w:val="22"/>
          <w:szCs w:val="22"/>
          <w:highlight w:val="yellow"/>
          <w:rtl w:val="0"/>
        </w:rPr>
        <w:t xml:space="preserve">Importación</w:t>
      </w:r>
      <w:r w:rsidDel="00000000" w:rsidR="00000000" w:rsidRPr="00000000">
        <w:rPr>
          <w:rFonts w:ascii="Calibri" w:cs="Calibri" w:eastAsia="Calibri" w:hAnsi="Calibri"/>
          <w:sz w:val="22"/>
          <w:szCs w:val="22"/>
          <w:highlight w:val="yellow"/>
          <w:rtl w:val="0"/>
        </w:rPr>
        <w:t xml:space="preserve">, debido a que no existen proveedores nacionales capaces de ofrecer un producto equivalente en calidad, especificaciones técnicas, capacidad de producción o cumplimiento normativo.</w:t>
      </w:r>
    </w:p>
    <w:p w:rsidR="00000000" w:rsidDel="00000000" w:rsidP="00000000" w:rsidRDefault="00000000" w:rsidRPr="00000000" w14:paraId="00000122">
      <w:pPr>
        <w:ind w:left="7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23">
      <w:pPr>
        <w:ind w:left="720" w:firstLine="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Esta situación ha sido verificada mediante revisión del mercado local, consultas a registros de proveedores y análisis de oferta disponible, sin identificarse alternativas nacionales viables.</w:t>
      </w:r>
    </w:p>
    <w:p w:rsidR="00000000" w:rsidDel="00000000" w:rsidP="00000000" w:rsidRDefault="00000000" w:rsidRPr="00000000" w14:paraId="00000124">
      <w:pPr>
        <w:ind w:left="7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25">
      <w:pPr>
        <w:ind w:left="720" w:firstLine="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Optar por la importación maximiza los resultados del gasto público, ya que garantiza:</w:t>
      </w:r>
    </w:p>
    <w:p w:rsidR="00000000" w:rsidDel="00000000" w:rsidP="00000000" w:rsidRDefault="00000000" w:rsidRPr="00000000" w14:paraId="00000126">
      <w:pPr>
        <w:ind w:left="7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Eficiencia técnica: se obtiene un bien que cumple plenamente con los requisitos del proyecto.</w:t>
      </w:r>
    </w:p>
    <w:p w:rsidR="00000000" w:rsidDel="00000000" w:rsidP="00000000" w:rsidRDefault="00000000" w:rsidRPr="00000000" w14:paraId="00000128">
      <w:pPr>
        <w:ind w:left="7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Eficiencia económica: se accede a mejores condiciones de calidad–precio que no pueden ser alcanzadas localmente.</w:t>
      </w:r>
    </w:p>
    <w:p w:rsidR="00000000" w:rsidDel="00000000" w:rsidP="00000000" w:rsidRDefault="00000000" w:rsidRPr="00000000" w14:paraId="0000012A">
      <w:pPr>
        <w:ind w:left="7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Uso responsable de recursos del Estado, asegurando que la inversión se oriente a la alternativa que genera mayor valor público.</w:t>
      </w:r>
    </w:p>
    <w:p w:rsidR="00000000" w:rsidDel="00000000" w:rsidP="00000000" w:rsidRDefault="00000000" w:rsidRPr="00000000" w14:paraId="0000012C">
      <w:pPr>
        <w:ind w:left="7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12D">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Por estas razones, la importación del bien “xxx” constituye la decisión más conveniente para el Estado y garantiza una gestión eficiente, transparente y alineada con los principios del gasto público.</w:t>
      </w:r>
      <w:r w:rsidDel="00000000" w:rsidR="00000000" w:rsidRPr="00000000">
        <w:rPr>
          <w:rtl w:val="0"/>
        </w:rPr>
      </w:r>
    </w:p>
    <w:p w:rsidR="00000000" w:rsidDel="00000000" w:rsidP="00000000" w:rsidRDefault="00000000" w:rsidRPr="00000000" w14:paraId="0000012E">
      <w:pPr>
        <w:ind w:right="-23"/>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2F">
      <w:pPr>
        <w:numPr>
          <w:ilvl w:val="0"/>
          <w:numId w:val="1"/>
        </w:numPr>
        <w:pBdr>
          <w:top w:space="0" w:sz="0" w:val="nil"/>
          <w:left w:space="0" w:sz="0" w:val="nil"/>
          <w:bottom w:space="0" w:sz="0" w:val="nil"/>
          <w:right w:space="0" w:sz="0" w:val="nil"/>
          <w:between w:space="0" w:sz="0" w:val="nil"/>
        </w:pBdr>
        <w:tabs>
          <w:tab w:val="left" w:leader="none" w:pos="142"/>
        </w:tabs>
        <w:ind w:lef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COSTOS DE LEVANTAMIENTO DE TEXTO, REPRODUCCIÓN DE EDICIÓN DE LOS PLIEGOS</w:t>
      </w:r>
    </w:p>
    <w:p w:rsidR="00000000" w:rsidDel="00000000" w:rsidP="00000000" w:rsidRDefault="00000000" w:rsidRPr="00000000" w14:paraId="00000130">
      <w:pPr>
        <w:tabs>
          <w:tab w:val="left" w:leader="none" w:pos="142"/>
        </w:tabs>
        <w:ind w:left="284" w:firstLine="43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1">
      <w:pPr>
        <w:tabs>
          <w:tab w:val="left" w:leader="none" w:pos="142"/>
        </w:tabs>
        <w:ind w:left="284" w:firstLine="43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aplica</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23"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PARÁMETROS QUE SE CALIFICARÁN EN LA VERIFICACIÓN DE PRODUCCIÓN NACIONAL</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65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tblGridChange w:id="0">
          <w:tblGrid>
            <w:gridCol w:w="6516"/>
          </w:tblGrid>
        </w:tblGridChange>
      </w:tblGrid>
      <w:tr>
        <w:trPr>
          <w:cantSplit w:val="0"/>
          <w:tblHeader w:val="0"/>
        </w:trPr>
        <w:tc>
          <w:tcPr/>
          <w:p w:rsidR="00000000" w:rsidDel="00000000" w:rsidP="00000000" w:rsidRDefault="00000000" w:rsidRPr="00000000" w14:paraId="00000135">
            <w:pPr>
              <w:tabs>
                <w:tab w:val="left" w:leader="none" w:pos="1590"/>
                <w:tab w:val="left" w:leader="none" w:pos="1591"/>
              </w:tabs>
              <w:ind w:right="52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Parámetro</w:t>
            </w:r>
          </w:p>
        </w:tc>
      </w:tr>
      <w:tr>
        <w:trPr>
          <w:cantSplit w:val="0"/>
          <w:tblHeader w:val="0"/>
        </w:trPr>
        <w:tc>
          <w:tcPr/>
          <w:p w:rsidR="00000000" w:rsidDel="00000000" w:rsidP="00000000" w:rsidRDefault="00000000" w:rsidRPr="00000000" w14:paraId="00000136">
            <w:pPr>
              <w:tabs>
                <w:tab w:val="left" w:leader="none" w:pos="1590"/>
                <w:tab w:val="left" w:leader="none" w:pos="1591"/>
              </w:tabs>
              <w:ind w:right="-107"/>
              <w:rPr>
                <w:rFonts w:ascii="Calibri" w:cs="Calibri" w:eastAsia="Calibri" w:hAnsi="Calibri"/>
              </w:rPr>
            </w:pPr>
            <w:r w:rsidDel="00000000" w:rsidR="00000000" w:rsidRPr="00000000">
              <w:rPr>
                <w:rFonts w:ascii="Calibri" w:cs="Calibri" w:eastAsia="Calibri" w:hAnsi="Calibri"/>
                <w:rtl w:val="0"/>
              </w:rPr>
              <w:t xml:space="preserve">El (los) bien (es) sea (n) fabricado(s) o producido (s) en el Ecuador</w:t>
            </w:r>
          </w:p>
        </w:tc>
      </w:tr>
      <w:tr>
        <w:trPr>
          <w:cantSplit w:val="0"/>
          <w:tblHeader w:val="0"/>
        </w:trPr>
        <w:tc>
          <w:tcPr/>
          <w:p w:rsidR="00000000" w:rsidDel="00000000" w:rsidP="00000000" w:rsidRDefault="00000000" w:rsidRPr="00000000" w14:paraId="00000137">
            <w:pPr>
              <w:tabs>
                <w:tab w:val="left" w:leader="none" w:pos="1590"/>
                <w:tab w:val="left" w:leader="none" w:pos="1591"/>
              </w:tabs>
              <w:ind w:right="520"/>
              <w:rPr>
                <w:rFonts w:ascii="Calibri" w:cs="Calibri" w:eastAsia="Calibri" w:hAnsi="Calibri"/>
              </w:rPr>
            </w:pPr>
            <w:r w:rsidDel="00000000" w:rsidR="00000000" w:rsidRPr="00000000">
              <w:rPr>
                <w:rFonts w:ascii="Calibri" w:cs="Calibri" w:eastAsia="Calibri" w:hAnsi="Calibri"/>
                <w:rtl w:val="0"/>
              </w:rPr>
              <w:t xml:space="preserve">Especificaciones técnicas</w:t>
            </w:r>
          </w:p>
        </w:tc>
      </w:tr>
      <w:tr>
        <w:trPr>
          <w:cantSplit w:val="0"/>
          <w:tblHeader w:val="0"/>
        </w:trPr>
        <w:tc>
          <w:tcPr/>
          <w:p w:rsidR="00000000" w:rsidDel="00000000" w:rsidP="00000000" w:rsidRDefault="00000000" w:rsidRPr="00000000" w14:paraId="00000138">
            <w:pPr>
              <w:tabs>
                <w:tab w:val="left" w:leader="none" w:pos="1590"/>
                <w:tab w:val="left" w:leader="none" w:pos="1591"/>
              </w:tabs>
              <w:ind w:right="520"/>
              <w:rPr>
                <w:rFonts w:ascii="Calibri" w:cs="Calibri" w:eastAsia="Calibri" w:hAnsi="Calibri"/>
              </w:rPr>
            </w:pPr>
            <w:r w:rsidDel="00000000" w:rsidR="00000000" w:rsidRPr="00000000">
              <w:rPr>
                <w:rFonts w:ascii="Calibri" w:cs="Calibri" w:eastAsia="Calibri" w:hAnsi="Calibri"/>
                <w:rtl w:val="0"/>
              </w:rPr>
              <w:t xml:space="preserve">Capacidad cumplir el contrato</w:t>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23"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3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7"/>
        <w:gridCol w:w="3108"/>
        <w:gridCol w:w="3108"/>
        <w:tblGridChange w:id="0">
          <w:tblGrid>
            <w:gridCol w:w="3107"/>
            <w:gridCol w:w="3108"/>
            <w:gridCol w:w="3108"/>
          </w:tblGrid>
        </w:tblGridChange>
      </w:tblGrid>
      <w:tr>
        <w:trPr>
          <w:cantSplit w:val="0"/>
          <w:trHeight w:val="2117" w:hRule="atLeast"/>
          <w:tblHeader w:val="0"/>
        </w:trPr>
        <w:tc>
          <w:tcPr/>
          <w:p w:rsidR="00000000" w:rsidDel="00000000" w:rsidP="00000000" w:rsidRDefault="00000000" w:rsidRPr="00000000" w14:paraId="0000013A">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Fonts w:ascii="Calibri" w:cs="Calibri" w:eastAsia="Calibri" w:hAnsi="Calibri"/>
                <w:rtl w:val="0"/>
              </w:rPr>
              <w:t xml:space="preserve">Elaborado por:</w:t>
            </w:r>
          </w:p>
          <w:p w:rsidR="00000000" w:rsidDel="00000000" w:rsidP="00000000" w:rsidRDefault="00000000" w:rsidRPr="00000000" w14:paraId="0000013B">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3C">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3D">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3E">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b w:val="1"/>
                <w:bCs w:val="1"/>
              </w:rPr>
            </w:pPr>
            <w:r w:rsidDel="00000000" w:rsidR="00000000" w:rsidRPr="00000000">
              <w:rPr>
                <w:rFonts w:ascii="Calibri" w:cs="Calibri" w:eastAsia="Calibri" w:hAnsi="Calibri"/>
                <w:b w:val="1"/>
                <w:bCs w:val="1"/>
                <w:highlight w:val="yellow"/>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13F">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Fonts w:ascii="Calibri" w:cs="Calibri" w:eastAsia="Calibri" w:hAnsi="Calibri"/>
                <w:rtl w:val="0"/>
              </w:rPr>
              <w:t xml:space="preserve">Revisado por:</w:t>
            </w:r>
          </w:p>
          <w:p w:rsidR="00000000" w:rsidDel="00000000" w:rsidP="00000000" w:rsidRDefault="00000000" w:rsidRPr="00000000" w14:paraId="00000140">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41">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42">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43">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Fonts w:ascii="Calibri" w:cs="Calibri" w:eastAsia="Calibri" w:hAnsi="Calibri"/>
                <w:b w:val="1"/>
                <w:bCs w:val="1"/>
                <w:highlight w:val="yellow"/>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144">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Fonts w:ascii="Calibri" w:cs="Calibri" w:eastAsia="Calibri" w:hAnsi="Calibri"/>
                <w:rtl w:val="0"/>
              </w:rPr>
              <w:t xml:space="preserve">Aprobado por:</w:t>
            </w:r>
          </w:p>
          <w:p w:rsidR="00000000" w:rsidDel="00000000" w:rsidP="00000000" w:rsidRDefault="00000000" w:rsidRPr="00000000" w14:paraId="00000145">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46">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47">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48">
            <w:pPr>
              <w:widowControl w:val="1"/>
              <w:pBdr>
                <w:top w:space="0" w:sz="0" w:val="nil"/>
                <w:left w:space="0" w:sz="0" w:val="nil"/>
                <w:bottom w:space="0" w:sz="0" w:val="nil"/>
                <w:right w:space="0" w:sz="0" w:val="nil"/>
                <w:between w:space="0" w:sz="0" w:val="nil"/>
              </w:pBdr>
              <w:tabs>
                <w:tab w:val="left" w:leader="none" w:pos="142"/>
                <w:tab w:val="left" w:leader="none" w:pos="709"/>
              </w:tabs>
              <w:jc w:val="both"/>
              <w:rPr>
                <w:rFonts w:ascii="Calibri" w:cs="Calibri" w:eastAsia="Calibri" w:hAnsi="Calibri"/>
              </w:rPr>
            </w:pPr>
            <w:r w:rsidDel="00000000" w:rsidR="00000000" w:rsidRPr="00000000">
              <w:rPr>
                <w:rFonts w:ascii="Calibri" w:cs="Calibri" w:eastAsia="Calibri" w:hAnsi="Calibri"/>
                <w:b w:val="1"/>
                <w:bCs w:val="1"/>
                <w:highlight w:val="yellow"/>
                <w:rtl w:val="0"/>
              </w:rPr>
              <w:t xml:space="preserve">El funcionario deberá estar CERTIFICADO ANTE EL SERCOP</w:t>
            </w:r>
            <w:r w:rsidDel="00000000" w:rsidR="00000000" w:rsidRPr="00000000">
              <w:rPr>
                <w:rtl w:val="0"/>
              </w:rPr>
            </w:r>
          </w:p>
        </w:tc>
      </w:tr>
    </w:tbl>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6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B">
      <w:pPr>
        <w:tabs>
          <w:tab w:val="left" w:leader="none" w:pos="142"/>
        </w:tabs>
        <w:rPr>
          <w:rFonts w:ascii="Calibri" w:cs="Calibri" w:eastAsia="Calibri" w:hAnsi="Calibri"/>
          <w:sz w:val="22"/>
          <w:szCs w:val="22"/>
        </w:rPr>
        <w:sectPr>
          <w:headerReference r:id="rId8" w:type="default"/>
          <w:footerReference r:id="rId9" w:type="default"/>
          <w:pgSz w:h="16840" w:w="11900" w:orient="portrait"/>
          <w:pgMar w:bottom="993" w:top="1418" w:left="1440" w:right="1127" w:header="386" w:footer="859"/>
          <w:pgNumType w:start="1"/>
        </w:sectPr>
      </w:pPr>
      <w:r w:rsidDel="00000000" w:rsidR="00000000" w:rsidRPr="00000000">
        <w:rPr>
          <w:rtl w:val="0"/>
        </w:rPr>
      </w:r>
    </w:p>
    <w:p w:rsidR="00000000" w:rsidDel="00000000" w:rsidP="00000000" w:rsidRDefault="00000000" w:rsidRPr="00000000" w14:paraId="0000014C">
      <w:pPr>
        <w:tabs>
          <w:tab w:val="left" w:leader="none" w:pos="-720"/>
          <w:tab w:val="left" w:leader="none" w:pos="142"/>
          <w:tab w:val="left" w:leader="none" w:pos="709"/>
        </w:tabs>
        <w:ind w:right="12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4D">
      <w:pPr>
        <w:pStyle w:val="Heading3"/>
        <w:ind w:right="468"/>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ANEXO</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ind w:right="468"/>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CERTIFICADO DE GARANTÍA TÉCNICA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mi calidad de Contratista,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(nombre de persona natural o jurídica, asociación o consorcio),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garantizo los bienes del objeto de contratación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incluir el objeto de contratación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por un plazo de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“XXXX” días/meses/años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contados a partir de la firma del acta de entrega recepción del objeto del contrato.</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vigencia de la garantía técnica, se tomarán las medidas correctivas necesarias para cumplir en las mismas condiciones requeridas en las Especificaciones Técnicas y pliegos.</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En el caso de la adquisición de bienes tecnológicos (vigencia tecnológica)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dejar lo siguiente:</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highlight w:val="green"/>
          <w:u w:val="none"/>
          <w:vertAlign w:val="baseline"/>
        </w:rPr>
      </w:pPr>
      <w:bookmarkStart w:colFirst="0" w:colLast="0" w:name="_heading=h.drqyn9pmm8jm" w:id="6"/>
      <w:bookmarkEnd w:id="6"/>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De acuerdo con lo señalado en el artículo 351 del RGLOSNCP la reposición de los bienes en aplicación de la garantía técnica, ya sea por defecto de fábrica o por mal funcionamiento durante su operación. La reposición podrá ser:</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1" w:right="14" w:hanging="36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Reposición temporal Comprende la entrega inmediata de un bien de las mismas o mayores características o especificaciones técnicas hasta la reposición definitiva; y,</w:t>
      </w:r>
    </w:p>
    <w:p w:rsidR="00000000" w:rsidDel="00000000" w:rsidP="00000000" w:rsidRDefault="00000000" w:rsidRPr="00000000" w14:paraId="000001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1" w:right="14" w:hanging="36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Reposición definitiva Operará en el caso en que el bien deba ser reemplazado por uno nuevo de iguales o mayores características o especificaciones técnicas, siempre y cuando no se trate de un daño derivado del mal uso u operación.</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Atentamente,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pStyle w:val="Heading1"/>
        <w:ind w:left="1" w:right="1834"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Firma de la Persona Natural o Representante Legal (Persona Jurídica) </w:t>
      </w:r>
    </w:p>
    <w:p w:rsidR="00000000" w:rsidDel="00000000" w:rsidP="00000000" w:rsidRDefault="00000000" w:rsidRPr="00000000" w14:paraId="00000160">
      <w:pPr>
        <w:tabs>
          <w:tab w:val="left" w:leader="none" w:pos="-720"/>
          <w:tab w:val="left" w:leader="none" w:pos="142"/>
          <w:tab w:val="left" w:leader="none" w:pos="709"/>
        </w:tabs>
        <w:ind w:right="120"/>
        <w:jc w:val="center"/>
        <w:rPr>
          <w:rFonts w:ascii="Calibri" w:cs="Calibri" w:eastAsia="Calibri" w:hAnsi="Calibri"/>
          <w:sz w:val="22"/>
          <w:szCs w:val="22"/>
        </w:rPr>
      </w:pPr>
      <w:r w:rsidDel="00000000" w:rsidR="00000000" w:rsidRPr="00000000">
        <w:rPr>
          <w:rtl w:val="0"/>
        </w:rPr>
      </w:r>
    </w:p>
    <w:sectPr>
      <w:headerReference r:id="rId10" w:type="default"/>
      <w:footerReference r:id="rId11" w:type="default"/>
      <w:type w:val="nextPage"/>
      <w:pgSz w:h="16840" w:w="11900" w:orient="portrait"/>
      <w:pgMar w:bottom="1417" w:top="1417" w:left="1701" w:right="1701" w:header="708" w:footer="14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center" w:leader="none" w:pos="4419"/>
        <w:tab w:val="right" w:leader="none" w:pos="8838"/>
      </w:tabs>
      <w:ind w:left="-993" w:firstLine="0"/>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Página </w:t>
    </w:r>
    <w:r w:rsidDel="00000000" w:rsidR="00000000" w:rsidRPr="00000000">
      <w:rPr>
        <w:rFonts w:ascii="Arial" w:cs="Arial" w:eastAsia="Arial" w:hAnsi="Arial"/>
        <w:b w:val="1"/>
        <w:bCs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bCs w:val="1"/>
        <w:color w:val="000000"/>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-1087118</wp:posOffset>
          </wp:positionH>
          <wp:positionV relativeFrom="paragraph">
            <wp:posOffset>-511806</wp:posOffset>
          </wp:positionV>
          <wp:extent cx="7563485" cy="1348105"/>
          <wp:effectExtent b="0" l="0" r="0" t="0"/>
          <wp:wrapNone/>
          <wp:docPr id="5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3485" cy="1348105"/>
                  </a:xfrm>
                  <a:prstGeom prst="rect"/>
                  <a:ln/>
                </pic:spPr>
              </pic:pic>
            </a:graphicData>
          </a:graphic>
        </wp:anchor>
      </w:drawing>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leader="none" w:pos="4419"/>
        <w:tab w:val="right" w:leader="none" w:pos="8838"/>
        <w:tab w:val="left" w:leader="none" w:pos="4845"/>
      </w:tabs>
      <w:ind w:left="-1276" w:firstLine="0"/>
      <w:rPr>
        <w:color w:val="000000"/>
      </w:rPr>
    </w:pPr>
    <w:r w:rsidDel="00000000" w:rsidR="00000000" w:rsidRPr="00000000">
      <w:rPr>
        <w:color w:val="000000"/>
        <w:rtl w:val="0"/>
      </w:rPr>
      <w:t xml:space="preserve"> </w:t>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810895</wp:posOffset>
          </wp:positionV>
          <wp:extent cx="7456170" cy="884555"/>
          <wp:effectExtent b="0" l="0" r="0" t="0"/>
          <wp:wrapNone/>
          <wp:docPr id="6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456170" cy="88455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152400</wp:posOffset>
          </wp:positionH>
          <wp:positionV relativeFrom="paragraph">
            <wp:posOffset>963294</wp:posOffset>
          </wp:positionV>
          <wp:extent cx="7456348" cy="884814"/>
          <wp:effectExtent b="0" l="0" r="0" t="0"/>
          <wp:wrapNone/>
          <wp:docPr id="6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456348" cy="8848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304800</wp:posOffset>
          </wp:positionH>
          <wp:positionV relativeFrom="paragraph">
            <wp:posOffset>1115695</wp:posOffset>
          </wp:positionV>
          <wp:extent cx="7456348" cy="884814"/>
          <wp:effectExtent b="0" l="0" r="0" t="0"/>
          <wp:wrapNone/>
          <wp:docPr id="58"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456348" cy="8848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457200</wp:posOffset>
          </wp:positionH>
          <wp:positionV relativeFrom="paragraph">
            <wp:posOffset>1268095</wp:posOffset>
          </wp:positionV>
          <wp:extent cx="7456348" cy="884814"/>
          <wp:effectExtent b="0" l="0" r="0" t="0"/>
          <wp:wrapNone/>
          <wp:docPr id="6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456348" cy="8848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609600</wp:posOffset>
          </wp:positionH>
          <wp:positionV relativeFrom="paragraph">
            <wp:posOffset>1420495</wp:posOffset>
          </wp:positionV>
          <wp:extent cx="7456348" cy="884814"/>
          <wp:effectExtent b="0" l="0" r="0" t="0"/>
          <wp:wrapNone/>
          <wp:docPr id="6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456348" cy="88481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762000</wp:posOffset>
          </wp:positionH>
          <wp:positionV relativeFrom="paragraph">
            <wp:posOffset>1572895</wp:posOffset>
          </wp:positionV>
          <wp:extent cx="7456348" cy="884814"/>
          <wp:effectExtent b="0" l="0" r="0" t="0"/>
          <wp:wrapNone/>
          <wp:docPr id="6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456348" cy="88481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tl w:val="0"/>
      </w:rPr>
      <w:t xml:space="preserve">Página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-1064257</wp:posOffset>
          </wp:positionH>
          <wp:positionV relativeFrom="paragraph">
            <wp:posOffset>-268603</wp:posOffset>
          </wp:positionV>
          <wp:extent cx="7563485" cy="1348105"/>
          <wp:effectExtent b="0" l="0" r="0" t="0"/>
          <wp:wrapNone/>
          <wp:docPr id="6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3485" cy="13481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419"/>
        <w:tab w:val="right" w:leader="none" w:pos="8838"/>
      </w:tabs>
      <w:ind w:left="-1134" w:firstLine="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-1080132</wp:posOffset>
          </wp:positionH>
          <wp:positionV relativeFrom="paragraph">
            <wp:posOffset>-219073</wp:posOffset>
          </wp:positionV>
          <wp:extent cx="7456348" cy="884814"/>
          <wp:effectExtent b="0" l="0" r="0" t="0"/>
          <wp:wrapNone/>
          <wp:docPr id="5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56348" cy="88481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-1025648</wp:posOffset>
          </wp:positionH>
          <wp:positionV relativeFrom="paragraph">
            <wp:posOffset>-426718</wp:posOffset>
          </wp:positionV>
          <wp:extent cx="7456348" cy="884814"/>
          <wp:effectExtent b="0" l="0" r="0" t="0"/>
          <wp:wrapNone/>
          <wp:docPr id="6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56348" cy="8848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64" w:hanging="360"/>
      </w:pPr>
      <w:rPr>
        <w:b w:val="1"/>
        <w:bCs w:val="1"/>
        <w:i w:val="0"/>
        <w:iCs w:val="0"/>
        <w:sz w:val="20"/>
        <w:szCs w:val="20"/>
      </w:rPr>
    </w:lvl>
    <w:lvl w:ilvl="1">
      <w:start w:val="1"/>
      <w:numFmt w:val="lowerLetter"/>
      <w:lvlText w:val="%2."/>
      <w:lvlJc w:val="left"/>
      <w:pPr>
        <w:ind w:left="1490" w:hanging="360"/>
      </w:pPr>
      <w:rPr>
        <w:rFonts w:ascii="Calibri" w:cs="Calibri" w:eastAsia="Calibri" w:hAnsi="Calibri"/>
      </w:rPr>
    </w:lvl>
    <w:lvl w:ilvl="2">
      <w:start w:val="1"/>
      <w:numFmt w:val="lowerRoman"/>
      <w:lvlText w:val="%3."/>
      <w:lvlJc w:val="right"/>
      <w:pPr>
        <w:ind w:left="2210" w:hanging="180"/>
      </w:pPr>
      <w:rPr/>
    </w:lvl>
    <w:lvl w:ilvl="3">
      <w:start w:val="0"/>
      <w:numFmt w:val="bullet"/>
      <w:lvlText w:val="-"/>
      <w:lvlJc w:val="left"/>
      <w:pPr>
        <w:ind w:left="2930" w:hanging="360"/>
      </w:pPr>
      <w:rPr>
        <w:rFonts w:ascii="Calibri" w:cs="Calibri" w:eastAsia="Calibri" w:hAnsi="Calibri"/>
      </w:rPr>
    </w:lvl>
    <w:lvl w:ilvl="4">
      <w:start w:val="1"/>
      <w:numFmt w:val="lowerLetter"/>
      <w:lvlText w:val="%5."/>
      <w:lvlJc w:val="left"/>
      <w:pPr>
        <w:ind w:left="3650" w:hanging="360"/>
      </w:pPr>
      <w:rPr/>
    </w:lvl>
    <w:lvl w:ilvl="5">
      <w:start w:val="1"/>
      <w:numFmt w:val="lowerRoman"/>
      <w:lvlText w:val="%6."/>
      <w:lvlJc w:val="right"/>
      <w:pPr>
        <w:ind w:left="4370" w:hanging="180"/>
      </w:pPr>
      <w:rPr/>
    </w:lvl>
    <w:lvl w:ilvl="6">
      <w:start w:val="1"/>
      <w:numFmt w:val="decimal"/>
      <w:lvlText w:val="%7."/>
      <w:lvlJc w:val="left"/>
      <w:pPr>
        <w:ind w:left="5090" w:hanging="360"/>
      </w:pPr>
      <w:rPr/>
    </w:lvl>
    <w:lvl w:ilvl="7">
      <w:start w:val="1"/>
      <w:numFmt w:val="lowerLetter"/>
      <w:lvlText w:val="%8."/>
      <w:lvlJc w:val="left"/>
      <w:pPr>
        <w:ind w:left="5810" w:hanging="360"/>
      </w:pPr>
      <w:rPr/>
    </w:lvl>
    <w:lvl w:ilvl="8">
      <w:start w:val="1"/>
      <w:numFmt w:val="lowerRoman"/>
      <w:lvlText w:val="%9."/>
      <w:lvlJc w:val="right"/>
      <w:pPr>
        <w:ind w:left="653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6" w:hanging="360"/>
      </w:pPr>
      <w:rPr>
        <w:rFonts w:ascii="Noto Sans Symbols" w:cs="Noto Sans Symbols" w:eastAsia="Noto Sans Symbols" w:hAnsi="Noto Sans Symbols"/>
      </w:rPr>
    </w:lvl>
    <w:lvl w:ilvl="1">
      <w:start w:val="1"/>
      <w:numFmt w:val="bullet"/>
      <w:lvlText w:val="o"/>
      <w:lvlJc w:val="left"/>
      <w:pPr>
        <w:ind w:left="2166" w:hanging="360"/>
      </w:pPr>
      <w:rPr>
        <w:rFonts w:ascii="Courier New" w:cs="Courier New" w:eastAsia="Courier New" w:hAnsi="Courier New"/>
      </w:rPr>
    </w:lvl>
    <w:lvl w:ilvl="2">
      <w:start w:val="1"/>
      <w:numFmt w:val="bullet"/>
      <w:lvlText w:val="▪"/>
      <w:lvlJc w:val="left"/>
      <w:pPr>
        <w:ind w:left="2886" w:hanging="360"/>
      </w:pPr>
      <w:rPr>
        <w:rFonts w:ascii="Noto Sans Symbols" w:cs="Noto Sans Symbols" w:eastAsia="Noto Sans Symbols" w:hAnsi="Noto Sans Symbols"/>
      </w:rPr>
    </w:lvl>
    <w:lvl w:ilvl="3">
      <w:start w:val="1"/>
      <w:numFmt w:val="bullet"/>
      <w:lvlText w:val="●"/>
      <w:lvlJc w:val="left"/>
      <w:pPr>
        <w:ind w:left="3606" w:hanging="360"/>
      </w:pPr>
      <w:rPr>
        <w:rFonts w:ascii="Noto Sans Symbols" w:cs="Noto Sans Symbols" w:eastAsia="Noto Sans Symbols" w:hAnsi="Noto Sans Symbols"/>
      </w:rPr>
    </w:lvl>
    <w:lvl w:ilvl="4">
      <w:start w:val="1"/>
      <w:numFmt w:val="bullet"/>
      <w:lvlText w:val="o"/>
      <w:lvlJc w:val="left"/>
      <w:pPr>
        <w:ind w:left="4326" w:hanging="360"/>
      </w:pPr>
      <w:rPr>
        <w:rFonts w:ascii="Courier New" w:cs="Courier New" w:eastAsia="Courier New" w:hAnsi="Courier New"/>
      </w:rPr>
    </w:lvl>
    <w:lvl w:ilvl="5">
      <w:start w:val="1"/>
      <w:numFmt w:val="bullet"/>
      <w:lvlText w:val="▪"/>
      <w:lvlJc w:val="left"/>
      <w:pPr>
        <w:ind w:left="5046" w:hanging="360"/>
      </w:pPr>
      <w:rPr>
        <w:rFonts w:ascii="Noto Sans Symbols" w:cs="Noto Sans Symbols" w:eastAsia="Noto Sans Symbols" w:hAnsi="Noto Sans Symbols"/>
      </w:rPr>
    </w:lvl>
    <w:lvl w:ilvl="6">
      <w:start w:val="1"/>
      <w:numFmt w:val="bullet"/>
      <w:lvlText w:val="●"/>
      <w:lvlJc w:val="left"/>
      <w:pPr>
        <w:ind w:left="5766" w:hanging="360"/>
      </w:pPr>
      <w:rPr>
        <w:rFonts w:ascii="Noto Sans Symbols" w:cs="Noto Sans Symbols" w:eastAsia="Noto Sans Symbols" w:hAnsi="Noto Sans Symbols"/>
      </w:rPr>
    </w:lvl>
    <w:lvl w:ilvl="7">
      <w:start w:val="1"/>
      <w:numFmt w:val="bullet"/>
      <w:lvlText w:val="o"/>
      <w:lvlJc w:val="left"/>
      <w:pPr>
        <w:ind w:left="6486" w:hanging="360"/>
      </w:pPr>
      <w:rPr>
        <w:rFonts w:ascii="Courier New" w:cs="Courier New" w:eastAsia="Courier New" w:hAnsi="Courier New"/>
      </w:rPr>
    </w:lvl>
    <w:lvl w:ilvl="8">
      <w:start w:val="1"/>
      <w:numFmt w:val="bullet"/>
      <w:lvlText w:val="▪"/>
      <w:lvlJc w:val="left"/>
      <w:pPr>
        <w:ind w:left="7206" w:hanging="360"/>
      </w:pPr>
      <w:rPr>
        <w:rFonts w:ascii="Noto Sans Symbols" w:cs="Noto Sans Symbols" w:eastAsia="Noto Sans Symbols" w:hAnsi="Noto Sans Symbols"/>
      </w:rPr>
    </w:lvl>
  </w:abstractNum>
  <w:abstractNum w:abstractNumId="4">
    <w:lvl w:ilvl="0">
      <w:start w:val="1"/>
      <w:numFmt w:val="lowerLetter"/>
      <w:lvlText w:val="%1)"/>
      <w:lvlJc w:val="left"/>
      <w:pPr>
        <w:ind w:left="721" w:hanging="360.00000000000006"/>
      </w:pPr>
      <w:rPr/>
    </w:lvl>
    <w:lvl w:ilvl="1">
      <w:start w:val="1"/>
      <w:numFmt w:val="lowerLetter"/>
      <w:lvlText w:val="%2."/>
      <w:lvlJc w:val="left"/>
      <w:pPr>
        <w:ind w:left="1441" w:hanging="360"/>
      </w:pPr>
      <w:rPr/>
    </w:lvl>
    <w:lvl w:ilvl="2">
      <w:start w:val="1"/>
      <w:numFmt w:val="lowerRoman"/>
      <w:lvlText w:val="%3."/>
      <w:lvlJc w:val="right"/>
      <w:pPr>
        <w:ind w:left="2161" w:hanging="180"/>
      </w:pPr>
      <w:rPr/>
    </w:lvl>
    <w:lvl w:ilvl="3">
      <w:start w:val="1"/>
      <w:numFmt w:val="decimal"/>
      <w:lvlText w:val="%4."/>
      <w:lvlJc w:val="left"/>
      <w:pPr>
        <w:ind w:left="2881" w:hanging="360"/>
      </w:pPr>
      <w:rPr/>
    </w:lvl>
    <w:lvl w:ilvl="4">
      <w:start w:val="1"/>
      <w:numFmt w:val="lowerLetter"/>
      <w:lvlText w:val="%5."/>
      <w:lvlJc w:val="left"/>
      <w:pPr>
        <w:ind w:left="3601" w:hanging="360"/>
      </w:pPr>
      <w:rPr/>
    </w:lvl>
    <w:lvl w:ilvl="5">
      <w:start w:val="1"/>
      <w:numFmt w:val="lowerRoman"/>
      <w:lvlText w:val="%6."/>
      <w:lvlJc w:val="right"/>
      <w:pPr>
        <w:ind w:left="4321" w:hanging="180"/>
      </w:pPr>
      <w:rPr/>
    </w:lvl>
    <w:lvl w:ilvl="6">
      <w:start w:val="1"/>
      <w:numFmt w:val="decimal"/>
      <w:lvlText w:val="%7."/>
      <w:lvlJc w:val="left"/>
      <w:pPr>
        <w:ind w:left="5041" w:hanging="360"/>
      </w:pPr>
      <w:rPr/>
    </w:lvl>
    <w:lvl w:ilvl="7">
      <w:start w:val="1"/>
      <w:numFmt w:val="lowerLetter"/>
      <w:lvlText w:val="%8."/>
      <w:lvlJc w:val="left"/>
      <w:pPr>
        <w:ind w:left="5761" w:hanging="360"/>
      </w:pPr>
      <w:rPr/>
    </w:lvl>
    <w:lvl w:ilvl="8">
      <w:start w:val="1"/>
      <w:numFmt w:val="lowerRoman"/>
      <w:lvlText w:val="%9."/>
      <w:lvlJc w:val="right"/>
      <w:pPr>
        <w:ind w:left="6481" w:hanging="180"/>
      </w:pPr>
      <w:rPr/>
    </w:lvl>
  </w:abstractNum>
  <w:abstractNum w:abstractNumId="5">
    <w:lvl w:ilvl="0">
      <w:start w:val="1"/>
      <w:numFmt w:val="lowerLetter"/>
      <w:lvlText w:val="%1)"/>
      <w:lvlJc w:val="left"/>
      <w:pPr>
        <w:ind w:left="1080" w:hanging="360"/>
      </w:pPr>
      <w:rPr/>
    </w:lvl>
    <w:lvl w:ilvl="1">
      <w:start w:val="0"/>
      <w:numFmt w:val="bullet"/>
      <w:lvlText w:val="-"/>
      <w:lvlJc w:val="left"/>
      <w:pPr>
        <w:ind w:left="1800" w:hanging="360"/>
      </w:pPr>
      <w:rPr>
        <w:rFonts w:ascii="Calibri" w:cs="Calibri" w:eastAsia="Calibri" w:hAnsi="Calibri"/>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0"/>
      <w:numFmt w:val="bullet"/>
      <w:lvlText w:val="-"/>
      <w:lvlJc w:val="left"/>
      <w:pPr>
        <w:ind w:left="1800" w:hanging="360"/>
      </w:pPr>
      <w:rPr>
        <w:rFonts w:ascii="Calibri" w:cs="Calibri" w:eastAsia="Calibri" w:hAnsi="Calibri"/>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720" w:hanging="360"/>
      </w:pPr>
      <w:rPr>
        <w:b w:val="0"/>
        <w:bCs w:val="0"/>
        <w:i w:val="0"/>
        <w:iCs w:val="0"/>
        <w:sz w:val="24"/>
        <w:szCs w:val="24"/>
      </w:rPr>
    </w:lvl>
    <w:lvl w:ilvl="1">
      <w:start w:val="1"/>
      <w:numFmt w:val="lowerLetter"/>
      <w:lvlText w:val="%2."/>
      <w:lvlJc w:val="left"/>
      <w:pPr>
        <w:ind w:left="-1411" w:hanging="360"/>
      </w:pPr>
      <w:rPr>
        <w:rFonts w:ascii="Calibri" w:cs="Calibri" w:eastAsia="Calibri" w:hAnsi="Calibri"/>
      </w:rPr>
    </w:lvl>
    <w:lvl w:ilvl="2">
      <w:start w:val="1"/>
      <w:numFmt w:val="lowerRoman"/>
      <w:lvlText w:val="%3."/>
      <w:lvlJc w:val="right"/>
      <w:pPr>
        <w:ind w:left="-691" w:hanging="180"/>
      </w:pPr>
      <w:rPr/>
    </w:lvl>
    <w:lvl w:ilvl="3">
      <w:start w:val="1"/>
      <w:numFmt w:val="decimal"/>
      <w:lvlText w:val="%4."/>
      <w:lvlJc w:val="left"/>
      <w:pPr>
        <w:ind w:left="29" w:hanging="360"/>
      </w:pPr>
      <w:rPr/>
    </w:lvl>
    <w:lvl w:ilvl="4">
      <w:start w:val="1"/>
      <w:numFmt w:val="lowerLetter"/>
      <w:lvlText w:val="%5."/>
      <w:lvlJc w:val="left"/>
      <w:pPr>
        <w:ind w:left="749" w:hanging="358.99999999999994"/>
      </w:pPr>
      <w:rPr/>
    </w:lvl>
    <w:lvl w:ilvl="5">
      <w:start w:val="1"/>
      <w:numFmt w:val="lowerRoman"/>
      <w:lvlText w:val="%6."/>
      <w:lvlJc w:val="right"/>
      <w:pPr>
        <w:ind w:left="1469" w:hanging="180"/>
      </w:pPr>
      <w:rPr/>
    </w:lvl>
    <w:lvl w:ilvl="6">
      <w:start w:val="1"/>
      <w:numFmt w:val="decimal"/>
      <w:lvlText w:val="%7."/>
      <w:lvlJc w:val="left"/>
      <w:pPr>
        <w:ind w:left="2189" w:hanging="360"/>
      </w:pPr>
      <w:rPr/>
    </w:lvl>
    <w:lvl w:ilvl="7">
      <w:start w:val="1"/>
      <w:numFmt w:val="lowerLetter"/>
      <w:lvlText w:val="%8."/>
      <w:lvlJc w:val="left"/>
      <w:pPr>
        <w:ind w:left="2909" w:hanging="360"/>
      </w:pPr>
      <w:rPr/>
    </w:lvl>
    <w:lvl w:ilvl="8">
      <w:start w:val="1"/>
      <w:numFmt w:val="lowerRoman"/>
      <w:lvlText w:val="%9."/>
      <w:lvlJc w:val="right"/>
      <w:pPr>
        <w:ind w:left="3629" w:hanging="180"/>
      </w:pPr>
      <w:rPr/>
    </w:lvl>
  </w:abstractNum>
  <w:abstractNum w:abstractNumId="8">
    <w:lvl w:ilvl="0">
      <w:start w:val="17"/>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1"/>
      <w:numFmt w:val="lowerLetter"/>
      <w:lvlText w:val="%1)"/>
      <w:lvlJc w:val="left"/>
      <w:pPr>
        <w:ind w:left="1080" w:hanging="360"/>
      </w:pPr>
      <w:rPr/>
    </w:lvl>
    <w:lvl w:ilvl="1">
      <w:start w:val="1"/>
      <w:numFmt w:val="bullet"/>
      <w:lvlText w:val="▪"/>
      <w:lvlJc w:val="left"/>
      <w:pPr>
        <w:ind w:left="1800" w:hanging="360"/>
      </w:pPr>
      <w:rPr>
        <w:rFonts w:ascii="Noto Sans Symbols" w:cs="Noto Sans Symbols" w:eastAsia="Noto Sans Symbols" w:hAnsi="Noto Sans Symbols"/>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C"/>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315C5"/>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315C5"/>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315C5"/>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Ttulo1Car" w:customStyle="1">
    <w:name w:val="Título 1 Car"/>
    <w:basedOn w:val="Fuentedeprrafopredeter"/>
    <w:uiPriority w:val="9"/>
    <w:rsid w:val="00D315C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D315C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D315C5"/>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D315C5"/>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D315C5"/>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D315C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315C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315C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315C5"/>
    <w:rPr>
      <w:rFonts w:cstheme="majorBidi" w:eastAsiaTheme="majorEastAsia"/>
      <w:color w:val="272727" w:themeColor="text1" w:themeTint="0000D8"/>
    </w:rPr>
  </w:style>
  <w:style w:type="character" w:styleId="TtuloCar" w:customStyle="1">
    <w:name w:val="Título Car"/>
    <w:basedOn w:val="Fuentedeprrafopredeter"/>
    <w:uiPriority w:val="10"/>
    <w:rsid w:val="00D315C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D315C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315C5"/>
    <w:pPr>
      <w:spacing w:after="160" w:before="160"/>
      <w:jc w:val="center"/>
    </w:pPr>
    <w:rPr>
      <w:i w:val="1"/>
      <w:iCs w:val="1"/>
      <w:color w:val="404040" w:themeColor="text1" w:themeTint="0000BF"/>
    </w:rPr>
  </w:style>
  <w:style w:type="character" w:styleId="CitaCar" w:customStyle="1">
    <w:name w:val="Cita Car"/>
    <w:basedOn w:val="Fuentedeprrafopredeter"/>
    <w:link w:val="Cita"/>
    <w:uiPriority w:val="29"/>
    <w:rsid w:val="00D315C5"/>
    <w:rPr>
      <w:i w:val="1"/>
      <w:iCs w:val="1"/>
      <w:color w:val="404040" w:themeColor="text1" w:themeTint="0000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1"/>
    <w:qFormat w:val="1"/>
    <w:rsid w:val="00D315C5"/>
    <w:pPr>
      <w:ind w:left="720"/>
      <w:contextualSpacing w:val="1"/>
    </w:pPr>
  </w:style>
  <w:style w:type="character" w:styleId="nfasisintenso">
    <w:name w:val="Intense Emphasis"/>
    <w:basedOn w:val="Fuentedeprrafopredeter"/>
    <w:uiPriority w:val="21"/>
    <w:qFormat w:val="1"/>
    <w:rsid w:val="00D315C5"/>
    <w:rPr>
      <w:i w:val="1"/>
      <w:iCs w:val="1"/>
      <w:color w:val="0f4761" w:themeColor="accent1" w:themeShade="0000BF"/>
    </w:rPr>
  </w:style>
  <w:style w:type="paragraph" w:styleId="Citadestacada">
    <w:name w:val="Intense Quote"/>
    <w:basedOn w:val="Normal"/>
    <w:next w:val="Normal"/>
    <w:link w:val="CitadestacadaCar"/>
    <w:uiPriority w:val="30"/>
    <w:qFormat w:val="1"/>
    <w:rsid w:val="00D315C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315C5"/>
    <w:rPr>
      <w:i w:val="1"/>
      <w:iCs w:val="1"/>
      <w:color w:val="0f4761" w:themeColor="accent1" w:themeShade="0000BF"/>
    </w:rPr>
  </w:style>
  <w:style w:type="character" w:styleId="Referenciaintensa">
    <w:name w:val="Intense Reference"/>
    <w:basedOn w:val="Fuentedeprrafopredeter"/>
    <w:uiPriority w:val="32"/>
    <w:qFormat w:val="1"/>
    <w:rsid w:val="00D315C5"/>
    <w:rPr>
      <w:b w:val="1"/>
      <w:bCs w:val="1"/>
      <w:smallCaps w:val="1"/>
      <w:color w:val="0f4761" w:themeColor="accent1" w:themeShade="0000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val="1"/>
    <w:rsid w:val="00D315C5"/>
    <w:pPr>
      <w:tabs>
        <w:tab w:val="center" w:pos="4419"/>
        <w:tab w:val="right" w:pos="8838"/>
      </w:tabs>
    </w:pPr>
  </w:style>
  <w:style w:type="character" w:styleId="EncabezadoCar" w:customStyle="1">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val="1"/>
    <w:rsid w:val="00D315C5"/>
    <w:pPr>
      <w:tabs>
        <w:tab w:val="center" w:pos="4419"/>
        <w:tab w:val="right" w:pos="8838"/>
      </w:tabs>
    </w:pPr>
  </w:style>
  <w:style w:type="character" w:styleId="PiedepginaCar" w:customStyle="1">
    <w:name w:val="Pie de página Car"/>
    <w:basedOn w:val="Fuentedeprrafopredeter"/>
    <w:link w:val="Piedepgina"/>
    <w:uiPriority w:val="99"/>
    <w:rsid w:val="00D315C5"/>
  </w:style>
  <w:style w:type="paragraph" w:styleId="Textodeglobo">
    <w:name w:val="Balloon Text"/>
    <w:basedOn w:val="Normal"/>
    <w:link w:val="TextodegloboCar"/>
    <w:uiPriority w:val="99"/>
    <w:semiHidden w:val="1"/>
    <w:unhideWhenUsed w:val="1"/>
    <w:rsid w:val="000A3801"/>
    <w:rPr>
      <w:rFonts w:ascii="Times New Roman" w:cs="Times New Roman" w:hAnsi="Times New Roman" w:eastAsiaTheme="minorHAnsi"/>
      <w:sz w:val="18"/>
      <w:szCs w:val="18"/>
      <w:lang w:val="en-US"/>
    </w:rPr>
  </w:style>
  <w:style w:type="character" w:styleId="TextodegloboCar" w:customStyle="1">
    <w:name w:val="Texto de globo Car"/>
    <w:basedOn w:val="Fuentedeprrafopredeter"/>
    <w:link w:val="Textodeglobo"/>
    <w:uiPriority w:val="99"/>
    <w:semiHidden w:val="1"/>
    <w:rsid w:val="000A3801"/>
    <w:rPr>
      <w:rFonts w:ascii="Times New Roman" w:cs="Times New Roman" w:hAnsi="Times New Roman"/>
      <w:kern w:val="0"/>
      <w:sz w:val="18"/>
      <w:szCs w:val="18"/>
      <w:lang w:val="en-US"/>
    </w:rPr>
  </w:style>
  <w:style w:type="character" w:styleId="PrrafodelistaCar" w:customStyle="1">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val="1"/>
    <w:locked w:val="1"/>
    <w:rsid w:val="000A3801"/>
    <w:rPr>
      <w:rFonts w:eastAsiaTheme="minorEastAsia"/>
    </w:rPr>
  </w:style>
  <w:style w:type="table" w:styleId="Tablaconcuadrcula">
    <w:name w:val="Table Grid"/>
    <w:basedOn w:val="Tablanormal"/>
    <w:rsid w:val="000A3801"/>
    <w:rPr>
      <w:sz w:val="22"/>
      <w:szCs w:val="22"/>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1" w:customStyle="1">
    <w:name w:val="Párrafo de lista1"/>
    <w:basedOn w:val="Normal"/>
    <w:uiPriority w:val="99"/>
    <w:qFormat w:val="1"/>
    <w:rsid w:val="000A3801"/>
    <w:pPr>
      <w:widowControl w:val="0"/>
      <w:suppressAutoHyphens w:val="1"/>
      <w:spacing w:after="200" w:line="276" w:lineRule="auto"/>
      <w:ind w:left="720"/>
    </w:pPr>
    <w:rPr>
      <w:rFonts w:ascii="Calibri" w:cs="Times New Roman" w:eastAsia="Times New Roman" w:hAnsi="Calibri"/>
      <w:kern w:val="1"/>
      <w:sz w:val="22"/>
      <w:szCs w:val="22"/>
      <w:lang w:eastAsia="es-ES" w:val="es-ES_tradnl"/>
    </w:rPr>
  </w:style>
  <w:style w:type="paragraph" w:styleId="Default" w:customStyle="1">
    <w:name w:val="Default"/>
    <w:rsid w:val="000A3801"/>
    <w:pPr>
      <w:autoSpaceDE w:val="0"/>
      <w:autoSpaceDN w:val="0"/>
      <w:adjustRightInd w:val="0"/>
    </w:pPr>
    <w:rPr>
      <w:rFonts w:ascii="Times New Roman" w:cs="Times New Roman" w:hAnsi="Times New Roman" w:eastAsiaTheme="minorEastAsia"/>
      <w:color w:val="000000"/>
      <w:lang w:eastAsia="es-ES"/>
    </w:rPr>
  </w:style>
  <w:style w:type="paragraph" w:styleId="Sinespaciado">
    <w:name w:val="No Spacing"/>
    <w:link w:val="SinespaciadoCar"/>
    <w:uiPriority w:val="1"/>
    <w:qFormat w:val="1"/>
    <w:rsid w:val="000A3801"/>
    <w:rPr>
      <w:rFonts w:eastAsiaTheme="minorEastAsia"/>
      <w:sz w:val="22"/>
      <w:szCs w:val="22"/>
    </w:rPr>
  </w:style>
  <w:style w:type="character" w:styleId="SinespaciadoCar" w:customStyle="1">
    <w:name w:val="Sin espaciado Car"/>
    <w:link w:val="Sinespaciado"/>
    <w:uiPriority w:val="1"/>
    <w:locked w:val="1"/>
    <w:rsid w:val="000A3801"/>
    <w:rPr>
      <w:rFonts w:eastAsiaTheme="minorEastAsia"/>
      <w:kern w:val="0"/>
      <w:sz w:val="22"/>
      <w:szCs w:val="22"/>
    </w:rPr>
  </w:style>
  <w:style w:type="character" w:styleId="Hipervnculo">
    <w:name w:val="Hyperlink"/>
    <w:uiPriority w:val="99"/>
    <w:unhideWhenUsed w:val="1"/>
    <w:rsid w:val="000A3801"/>
    <w:rPr>
      <w:color w:val="0563c1"/>
      <w:u w:val="single"/>
    </w:rPr>
  </w:style>
  <w:style w:type="paragraph" w:styleId="NormalWeb">
    <w:name w:val="Normal (Web)"/>
    <w:basedOn w:val="Normal"/>
    <w:uiPriority w:val="99"/>
    <w:unhideWhenUsed w:val="1"/>
    <w:rsid w:val="000A3801"/>
    <w:pPr>
      <w:widowControl w:val="0"/>
      <w:suppressAutoHyphens w:val="1"/>
      <w:spacing w:after="280" w:before="280"/>
    </w:pPr>
    <w:rPr>
      <w:rFonts w:ascii="Times New Roman" w:cs="Times New Roman" w:eastAsia="Arial Unicode MS" w:hAnsi="Times New Roman"/>
      <w:lang w:eastAsia="es-ES" w:val="es-ES_tradnl"/>
    </w:rPr>
  </w:style>
  <w:style w:type="character" w:styleId="titulo-consultas-1" w:customStyle="1">
    <w:name w:val="titulo-consultas-1"/>
    <w:basedOn w:val="Fuentedeprrafopredeter"/>
    <w:rsid w:val="000A3801"/>
  </w:style>
  <w:style w:type="table" w:styleId="Tablaconcuadrcula1" w:customStyle="1">
    <w:name w:val="Tabla con cuadrícula1"/>
    <w:basedOn w:val="Tablanormal"/>
    <w:next w:val="Tablaconcuadrcula"/>
    <w:uiPriority w:val="59"/>
    <w:rsid w:val="000A3801"/>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customStyle="1">
    <w:name w:val="fontstyle01"/>
    <w:basedOn w:val="Fuentedeprrafopredeter"/>
    <w:rsid w:val="000A3801"/>
    <w:rPr>
      <w:rFonts w:ascii="DejaVuSerifCondensed" w:hAnsi="DejaVuSerifCondensed" w:hint="default"/>
      <w:b w:val="0"/>
      <w:bCs w:val="0"/>
      <w:i w:val="0"/>
      <w:iCs w:val="0"/>
      <w:color w:val="000000"/>
      <w:sz w:val="18"/>
      <w:szCs w:val="18"/>
    </w:rPr>
  </w:style>
  <w:style w:type="paragraph" w:styleId="Standard" w:customStyle="1">
    <w:name w:val="Standard"/>
    <w:rsid w:val="000A3801"/>
    <w:pPr>
      <w:autoSpaceDN w:val="0"/>
      <w:textAlignment w:val="baseline"/>
    </w:pPr>
    <w:rPr>
      <w:rFonts w:ascii="Times New Roman" w:cs="Times New Roman" w:eastAsia="Times New Roman" w:hAnsi="Times New Roman"/>
      <w:sz w:val="20"/>
      <w:szCs w:val="20"/>
    </w:rPr>
  </w:style>
  <w:style w:type="paragraph" w:styleId="xl25" w:customStyle="1">
    <w:name w:val="xl25"/>
    <w:basedOn w:val="Normal"/>
    <w:rsid w:val="000A3801"/>
    <w:pPr>
      <w:widowControl w:val="0"/>
      <w:shd w:color="auto" w:fill="ffffff" w:val="clear"/>
      <w:suppressAutoHyphens w:val="1"/>
      <w:spacing w:after="280" w:before="280"/>
    </w:pPr>
    <w:rPr>
      <w:rFonts w:ascii="Arial" w:cs="Times New Roman" w:eastAsia="Arial Unicode MS" w:hAnsi="Arial"/>
      <w:b w:val="1"/>
      <w:bCs w:val="1"/>
      <w:kern w:val="1"/>
      <w:lang w:eastAsia="es-ES" w:val="es-ES_tradnl"/>
    </w:rPr>
  </w:style>
  <w:style w:type="paragraph" w:styleId="Continuarlista">
    <w:name w:val="List Continue"/>
    <w:basedOn w:val="Normal"/>
    <w:uiPriority w:val="99"/>
    <w:unhideWhenUsed w:val="1"/>
    <w:rsid w:val="000A3801"/>
    <w:pPr>
      <w:spacing w:after="120"/>
      <w:ind w:left="283"/>
      <w:contextualSpacing w:val="1"/>
    </w:pPr>
    <w:rPr>
      <w:rFonts w:ascii="Cambria" w:cs="Times New Roman" w:eastAsia="MS Mincho" w:hAnsi="Cambria"/>
      <w:lang w:eastAsia="es-ES" w:val="es-ES_tradnl"/>
    </w:rPr>
  </w:style>
  <w:style w:type="character" w:styleId="normaltextrun" w:customStyle="1">
    <w:name w:val="normaltextrun"/>
    <w:basedOn w:val="Fuentedeprrafopredeter"/>
    <w:rsid w:val="000A3801"/>
  </w:style>
  <w:style w:type="character" w:styleId="Refdecomentario">
    <w:name w:val="annotation reference"/>
    <w:basedOn w:val="Fuentedeprrafopredeter"/>
    <w:uiPriority w:val="99"/>
    <w:semiHidden w:val="1"/>
    <w:unhideWhenUsed w:val="1"/>
    <w:rsid w:val="000A3801"/>
    <w:rPr>
      <w:sz w:val="16"/>
      <w:szCs w:val="16"/>
    </w:rPr>
  </w:style>
  <w:style w:type="paragraph" w:styleId="Textocomentario">
    <w:name w:val="annotation text"/>
    <w:basedOn w:val="Normal"/>
    <w:link w:val="TextocomentarioCar"/>
    <w:uiPriority w:val="99"/>
    <w:unhideWhenUsed w:val="1"/>
    <w:rsid w:val="000A3801"/>
    <w:rPr>
      <w:rFonts w:eastAsiaTheme="minorHAnsi"/>
      <w:sz w:val="20"/>
      <w:szCs w:val="20"/>
      <w:lang w:val="en-US"/>
    </w:rPr>
  </w:style>
  <w:style w:type="character" w:styleId="TextocomentarioCar" w:customStyle="1">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val="1"/>
    <w:unhideWhenUsed w:val="1"/>
    <w:rsid w:val="000A3801"/>
    <w:rPr>
      <w:b w:val="1"/>
      <w:bCs w:val="1"/>
    </w:rPr>
  </w:style>
  <w:style w:type="character" w:styleId="AsuntodelcomentarioCar" w:customStyle="1">
    <w:name w:val="Asunto del comentario Car"/>
    <w:basedOn w:val="TextocomentarioCar"/>
    <w:link w:val="Asuntodelcomentario"/>
    <w:uiPriority w:val="99"/>
    <w:semiHidden w:val="1"/>
    <w:rsid w:val="000A3801"/>
    <w:rPr>
      <w:b w:val="1"/>
      <w:bCs w:val="1"/>
      <w:kern w:val="0"/>
      <w:sz w:val="20"/>
      <w:szCs w:val="20"/>
      <w:lang w:val="en-US"/>
    </w:rPr>
  </w:style>
  <w:style w:type="table" w:styleId="TableGrid" w:customStyle="1">
    <w:name w:val="TableGrid"/>
    <w:rsid w:val="000A3801"/>
    <w:rPr>
      <w:rFonts w:eastAsiaTheme="minorEastAsia"/>
      <w:sz w:val="22"/>
      <w:szCs w:val="22"/>
    </w:rPr>
    <w:tblPr>
      <w:tblCellMar>
        <w:top w:w="0.0" w:type="dxa"/>
        <w:left w:w="0.0" w:type="dxa"/>
        <w:bottom w:w="0.0" w:type="dxa"/>
        <w:right w:w="0.0" w:type="dxa"/>
      </w:tblCellMar>
    </w:tblPr>
  </w:style>
  <w:style w:type="table" w:styleId="TableNormal0" w:customStyle="1">
    <w:name w:val="Table Normal"/>
    <w:uiPriority w:val="2"/>
    <w:semiHidden w:val="1"/>
    <w:unhideWhenUsed w:val="1"/>
    <w:qFormat w:val="1"/>
    <w:rsid w:val="000A3801"/>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0A3801"/>
    <w:pPr>
      <w:widowControl w:val="0"/>
      <w:autoSpaceDE w:val="0"/>
      <w:autoSpaceDN w:val="0"/>
    </w:pPr>
    <w:rPr>
      <w:rFonts w:ascii="Times New Roman" w:cs="Times New Roman" w:eastAsia="Times New Roman" w:hAnsi="Times New Roman"/>
      <w:sz w:val="22"/>
      <w:szCs w:val="22"/>
      <w:lang w:val="es-ES"/>
    </w:rPr>
  </w:style>
  <w:style w:type="character" w:styleId="Mencinsinresolver">
    <w:name w:val="Unresolved Mention"/>
    <w:basedOn w:val="Fuentedeprrafopredeter"/>
    <w:uiPriority w:val="99"/>
    <w:semiHidden w:val="1"/>
    <w:unhideWhenUsed w:val="1"/>
    <w:rsid w:val="000A3801"/>
    <w:rPr>
      <w:color w:val="605e5c"/>
      <w:shd w:color="auto" w:fill="e1dfdd" w:val="clear"/>
    </w:rPr>
  </w:style>
  <w:style w:type="paragraph" w:styleId="xmsolistparagraph" w:customStyle="1">
    <w:name w:val="x_msolistparagraph"/>
    <w:basedOn w:val="Normal"/>
    <w:rsid w:val="000A3801"/>
    <w:pPr>
      <w:spacing w:after="100" w:afterAutospacing="1" w:before="100" w:beforeAutospacing="1"/>
    </w:pPr>
    <w:rPr>
      <w:rFonts w:ascii="Times New Roman" w:cs="Times New Roman" w:eastAsia="Times New Roman" w:hAnsi="Times New Roman"/>
    </w:rPr>
  </w:style>
  <w:style w:type="character" w:styleId="Hipervnculovisitado">
    <w:name w:val="FollowedHyperlink"/>
    <w:basedOn w:val="Fuentedeprrafopredeter"/>
    <w:uiPriority w:val="99"/>
    <w:semiHidden w:val="1"/>
    <w:unhideWhenUsed w:val="1"/>
    <w:rsid w:val="00E66686"/>
    <w:rPr>
      <w:color w:val="96607d" w:themeColor="followedHyperlink"/>
      <w:u w:val="single"/>
    </w:rPr>
  </w:style>
  <w:style w:type="paragraph" w:styleId="Textoindependiente">
    <w:name w:val="Body Text"/>
    <w:basedOn w:val="Normal"/>
    <w:link w:val="TextoindependienteCar"/>
    <w:uiPriority w:val="1"/>
    <w:qFormat w:val="1"/>
    <w:rsid w:val="00E77F96"/>
    <w:pPr>
      <w:widowControl w:val="0"/>
      <w:autoSpaceDE w:val="0"/>
      <w:autoSpaceDN w:val="0"/>
    </w:pPr>
    <w:rPr>
      <w:rFonts w:ascii="Calibri" w:cs="Calibri" w:eastAsia="Calibri" w:hAnsi="Calibri"/>
      <w:lang w:val="es-ES"/>
    </w:rPr>
  </w:style>
  <w:style w:type="character" w:styleId="TextoindependienteCar" w:customStyle="1">
    <w:name w:val="Texto independiente Car"/>
    <w:basedOn w:val="Fuentedeprrafopredeter"/>
    <w:link w:val="Textoindependiente"/>
    <w:uiPriority w:val="1"/>
    <w:rsid w:val="00E77F96"/>
    <w:rPr>
      <w:rFonts w:ascii="Calibri" w:cs="Calibri" w:eastAsia="Calibri" w:hAnsi="Calibri"/>
      <w:kern w:val="0"/>
      <w:lang w:val="es-ES"/>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top w:w="10.0" w:type="dxa"/>
        <w:left w:w="70.0" w:type="dxa"/>
      </w:tblCellMar>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3">
    <w:basedOn w:val="TableNormal"/>
    <w:pPr>
      <w:widowControl w:val="0"/>
    </w:pPr>
    <w:rPr>
      <w:sz w:val="22"/>
      <w:szCs w:val="22"/>
    </w:rPr>
    <w:tblPr>
      <w:tblStyleRowBandSize w:val="1"/>
      <w:tblStyleColBandSize w:val="1"/>
      <w:tblCellMar>
        <w:top w:w="10.0" w:type="dxa"/>
        <w:left w:w="70.0" w:type="dxa"/>
        <w:bottom w:w="0.0" w:type="dxa"/>
        <w:right w:w="0.0" w:type="dxa"/>
      </w:tblCellMar>
    </w:tblPr>
  </w:style>
  <w:style w:type="table" w:styleId="Table4">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mpraspublicas.gob.ec/ProcesoContratacion/compras/RCC/RccFrmBuscarCpcEnCatalogo.cp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NGU1sW5nNjWvK/ouEsqv9DHjw==">CgMxLjAyDmguNTJranZ6ZTNjZWR3Mg5oLnozd2M2aDR5ZWl0ZzIOaC5keDFhMmxpZDhrbHgyDWgudjAzd3ZtM2I0bjUyDmguMW13Zm5xdHprOWxqMg5oLnQzaXAzeGc4dmp5NTIOaC5kcnF5bjlwbW04am04AHIhMVN2SEd0MEpjcWF2bHlISkNCRV8tR0FZSDJ1VDdnX0Fp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2025-12-09T14:27:00Z</dcterms:created>
  <dc:creator>Maria Vanessa Solorzano Jurado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