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611" w:rsidRDefault="00131D97">
      <w:pPr>
        <w:ind w:right="-3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INSTRUMENTO PARA LA DETERMINACIÓN DEL PRESUPUESTO REFERENCIAL: EST</w:t>
      </w:r>
      <w:r w:rsidR="0017336A">
        <w:rPr>
          <w:rFonts w:ascii="Arial" w:eastAsia="Arial" w:hAnsi="Arial" w:cs="Arial"/>
          <w:b/>
          <w:bCs/>
          <w:sz w:val="22"/>
          <w:szCs w:val="22"/>
        </w:rPr>
        <w:t>UDIO DE COSTOS DE CONSULTORÍA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8"/>
        <w:tblW w:w="878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354"/>
        <w:gridCol w:w="5435"/>
      </w:tblGrid>
      <w:tr w:rsidR="00D73611">
        <w:trPr>
          <w:trHeight w:val="222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Entidad Contratante: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Escuela Superior Politécnica del Litoral</w:t>
            </w:r>
          </w:p>
        </w:tc>
      </w:tr>
      <w:tr w:rsidR="00D73611">
        <w:trPr>
          <w:trHeight w:val="66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Área Requirente: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green"/>
              </w:rPr>
              <w:t>(a definir por el requirente)</w:t>
            </w:r>
          </w:p>
        </w:tc>
      </w:tr>
      <w:tr w:rsidR="00D73611">
        <w:trPr>
          <w:trHeight w:val="270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Objeto Contractual: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green"/>
              </w:rPr>
              <w:t>(a definir por el requirente)</w:t>
            </w:r>
          </w:p>
        </w:tc>
      </w:tr>
      <w:tr w:rsidR="00D73611">
        <w:trPr>
          <w:trHeight w:val="222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3611" w:rsidRDefault="00131D97">
            <w:pPr>
              <w:ind w:right="267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Fecha de Elaboración del Estudio: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Día – mes – año (de elaboración)</w:t>
            </w:r>
          </w:p>
        </w:tc>
      </w:tr>
      <w:tr w:rsidR="00D73611">
        <w:trPr>
          <w:trHeight w:val="222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Lugar (Provincia/Cantón):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green"/>
              </w:rPr>
              <w:t>(a definir por el requirente)</w:t>
            </w:r>
          </w:p>
        </w:tc>
      </w:tr>
      <w:tr w:rsidR="00D73611">
        <w:trPr>
          <w:trHeight w:val="281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CPC Nivel 9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green"/>
              </w:rPr>
              <w:t>(a definir por el requirente)</w:t>
            </w: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1.- Antecedentes</w:t>
      </w:r>
    </w:p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BC03B5" w:rsidRDefault="00BC03B5" w:rsidP="0089035C">
      <w:pPr>
        <w:pStyle w:val="Prrafodelista"/>
        <w:numPr>
          <w:ilvl w:val="1"/>
          <w:numId w:val="1"/>
        </w:numPr>
        <w:ind w:left="0" w:right="-336" w:firstLine="0"/>
        <w:jc w:val="both"/>
        <w:rPr>
          <w:rFonts w:ascii="Arial" w:hAnsi="Arial" w:cs="Arial"/>
          <w:sz w:val="22"/>
          <w:szCs w:val="22"/>
        </w:rPr>
      </w:pPr>
      <w:r w:rsidRPr="00430FC4">
        <w:rPr>
          <w:rFonts w:ascii="Arial" w:hAnsi="Arial" w:cs="Arial"/>
          <w:sz w:val="22"/>
          <w:szCs w:val="22"/>
        </w:rPr>
        <w:t>El Consejo Polit</w:t>
      </w:r>
      <w:r w:rsidRPr="00430FC4">
        <w:rPr>
          <w:rFonts w:ascii="Arial" w:hAnsi="Arial" w:cs="Arial" w:hint="eastAsia"/>
          <w:sz w:val="22"/>
          <w:szCs w:val="22"/>
        </w:rPr>
        <w:t>é</w:t>
      </w:r>
      <w:r w:rsidRPr="00430FC4">
        <w:rPr>
          <w:rFonts w:ascii="Arial" w:hAnsi="Arial" w:cs="Arial"/>
          <w:sz w:val="22"/>
          <w:szCs w:val="22"/>
        </w:rPr>
        <w:t>cnico, mediante Resoluci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Nro. 25-08-318, en sesi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del 28 de agosto de 2025 y reformado mediante Resoluci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Nro. 25-11-440, en sesi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del 13 de noviembre de 2025 emiti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 xml:space="preserve"> el REGLAMENTO DEL R</w:t>
      </w:r>
      <w:r w:rsidRPr="00430FC4">
        <w:rPr>
          <w:rFonts w:ascii="Arial" w:hAnsi="Arial" w:cs="Arial" w:hint="eastAsia"/>
          <w:sz w:val="22"/>
          <w:szCs w:val="22"/>
        </w:rPr>
        <w:t>É</w:t>
      </w:r>
      <w:r w:rsidRPr="00430FC4">
        <w:rPr>
          <w:rFonts w:ascii="Arial" w:hAnsi="Arial" w:cs="Arial"/>
          <w:sz w:val="22"/>
          <w:szCs w:val="22"/>
        </w:rPr>
        <w:t>GIMEN ESPECIAL DE CONTRATACI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DIRECTA PARA LA ADQUISICI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DE BIENES Y/O SERVICIOS PARA LA INVESTIGACI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CIENT</w:t>
      </w:r>
      <w:r w:rsidRPr="00430FC4">
        <w:rPr>
          <w:rFonts w:ascii="Arial" w:hAnsi="Arial" w:cs="Arial" w:hint="eastAsia"/>
          <w:sz w:val="22"/>
          <w:szCs w:val="22"/>
        </w:rPr>
        <w:t>Í</w:t>
      </w:r>
      <w:r w:rsidRPr="00430FC4">
        <w:rPr>
          <w:rFonts w:ascii="Arial" w:hAnsi="Arial" w:cs="Arial"/>
          <w:sz w:val="22"/>
          <w:szCs w:val="22"/>
        </w:rPr>
        <w:t>FICA RESPONSABLE.</w:t>
      </w:r>
    </w:p>
    <w:p w:rsidR="00BC03B5" w:rsidRDefault="00BC03B5" w:rsidP="0089035C">
      <w:pPr>
        <w:pStyle w:val="Prrafodelista"/>
        <w:ind w:left="0" w:right="-336"/>
        <w:jc w:val="both"/>
        <w:rPr>
          <w:rFonts w:ascii="Arial" w:hAnsi="Arial" w:cs="Arial"/>
          <w:sz w:val="22"/>
          <w:szCs w:val="22"/>
        </w:rPr>
      </w:pPr>
    </w:p>
    <w:p w:rsidR="00BC03B5" w:rsidRDefault="00BC03B5" w:rsidP="0089035C">
      <w:pPr>
        <w:pStyle w:val="Prrafodelista"/>
        <w:numPr>
          <w:ilvl w:val="1"/>
          <w:numId w:val="1"/>
        </w:numPr>
        <w:ind w:left="0" w:right="-336" w:firstLine="0"/>
        <w:jc w:val="both"/>
        <w:rPr>
          <w:rFonts w:ascii="Arial" w:hAnsi="Arial" w:cs="Arial"/>
          <w:sz w:val="22"/>
          <w:szCs w:val="22"/>
        </w:rPr>
      </w:pPr>
      <w:r w:rsidRPr="00430FC4">
        <w:rPr>
          <w:rFonts w:ascii="Arial" w:hAnsi="Arial" w:cs="Arial"/>
          <w:sz w:val="22"/>
          <w:szCs w:val="22"/>
        </w:rPr>
        <w:t xml:space="preserve">Mediante memorando ESPOL-VIDI-2025-0563-M del 21 de noviembre de 2025, el Vicerrectorado de </w:t>
      </w:r>
      <w:proofErr w:type="spellStart"/>
      <w:r w:rsidRPr="00430FC4">
        <w:rPr>
          <w:rFonts w:ascii="Arial" w:hAnsi="Arial" w:cs="Arial"/>
          <w:sz w:val="22"/>
          <w:szCs w:val="22"/>
        </w:rPr>
        <w:t>I+D+i</w:t>
      </w:r>
      <w:proofErr w:type="spellEnd"/>
      <w:r w:rsidRPr="00430FC4">
        <w:rPr>
          <w:rFonts w:ascii="Arial" w:hAnsi="Arial" w:cs="Arial"/>
          <w:sz w:val="22"/>
          <w:szCs w:val="22"/>
        </w:rPr>
        <w:t xml:space="preserve"> present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 xml:space="preserve"> ante el rectorado el Informe T</w:t>
      </w:r>
      <w:r w:rsidRPr="00430FC4">
        <w:rPr>
          <w:rFonts w:ascii="Arial" w:hAnsi="Arial" w:cs="Arial" w:hint="eastAsia"/>
          <w:sz w:val="22"/>
          <w:szCs w:val="22"/>
        </w:rPr>
        <w:t>é</w:t>
      </w:r>
      <w:r w:rsidRPr="00430FC4">
        <w:rPr>
          <w:rFonts w:ascii="Arial" w:hAnsi="Arial" w:cs="Arial"/>
          <w:sz w:val="22"/>
          <w:szCs w:val="22"/>
        </w:rPr>
        <w:t>cnico que contiene el detalle de los bienes y servicios susceptibles de contrataci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bajo el R</w:t>
      </w:r>
      <w:r w:rsidRPr="00430FC4">
        <w:rPr>
          <w:rFonts w:ascii="Arial" w:hAnsi="Arial" w:cs="Arial" w:hint="eastAsia"/>
          <w:sz w:val="22"/>
          <w:szCs w:val="22"/>
        </w:rPr>
        <w:t>é</w:t>
      </w:r>
      <w:r w:rsidRPr="00430FC4">
        <w:rPr>
          <w:rFonts w:ascii="Arial" w:hAnsi="Arial" w:cs="Arial"/>
          <w:sz w:val="22"/>
          <w:szCs w:val="22"/>
        </w:rPr>
        <w:t>gimen especial de contrataci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directa para la adquisici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de bienes y/o servicios para la investigaci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cient</w:t>
      </w:r>
      <w:r w:rsidRPr="00430FC4">
        <w:rPr>
          <w:rFonts w:ascii="Arial" w:hAnsi="Arial" w:cs="Arial" w:hint="eastAsia"/>
          <w:sz w:val="22"/>
          <w:szCs w:val="22"/>
        </w:rPr>
        <w:t>í</w:t>
      </w:r>
      <w:r w:rsidRPr="00430FC4">
        <w:rPr>
          <w:rFonts w:ascii="Arial" w:hAnsi="Arial" w:cs="Arial"/>
          <w:sz w:val="22"/>
          <w:szCs w:val="22"/>
        </w:rPr>
        <w:t>fica responsable.</w:t>
      </w:r>
    </w:p>
    <w:p w:rsidR="00BC03B5" w:rsidRPr="00BC03B5" w:rsidRDefault="00BC03B5" w:rsidP="0089035C">
      <w:pPr>
        <w:ind w:right="-336"/>
        <w:jc w:val="both"/>
        <w:rPr>
          <w:rFonts w:ascii="Arial" w:hAnsi="Arial" w:cs="Arial"/>
          <w:sz w:val="22"/>
          <w:szCs w:val="22"/>
        </w:rPr>
      </w:pPr>
    </w:p>
    <w:p w:rsidR="00BC03B5" w:rsidRDefault="00BC03B5" w:rsidP="0089035C">
      <w:pPr>
        <w:pStyle w:val="Prrafodelista"/>
        <w:numPr>
          <w:ilvl w:val="1"/>
          <w:numId w:val="1"/>
        </w:numPr>
        <w:ind w:left="0" w:right="-336" w:firstLine="0"/>
        <w:jc w:val="both"/>
        <w:rPr>
          <w:rFonts w:ascii="Arial" w:hAnsi="Arial" w:cs="Arial"/>
          <w:sz w:val="22"/>
          <w:szCs w:val="22"/>
        </w:rPr>
      </w:pPr>
      <w:r w:rsidRPr="00430FC4">
        <w:rPr>
          <w:rFonts w:ascii="Arial" w:hAnsi="Arial" w:cs="Arial"/>
          <w:sz w:val="22"/>
          <w:szCs w:val="22"/>
        </w:rPr>
        <w:t>Mediante Resoluci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Nro. 059-2025 del 29 de diciembre de 2025, Cecilia A. Paredes V. PhD. Rectora de ESPOL, autoriz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 xml:space="preserve"> las definiciones de contrataciones para la investigaci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cient</w:t>
      </w:r>
      <w:r w:rsidRPr="00430FC4">
        <w:rPr>
          <w:rFonts w:ascii="Arial" w:hAnsi="Arial" w:cs="Arial" w:hint="eastAsia"/>
          <w:sz w:val="22"/>
          <w:szCs w:val="22"/>
        </w:rPr>
        <w:t>í</w:t>
      </w:r>
      <w:r w:rsidRPr="00430FC4">
        <w:rPr>
          <w:rFonts w:ascii="Arial" w:hAnsi="Arial" w:cs="Arial"/>
          <w:sz w:val="22"/>
          <w:szCs w:val="22"/>
        </w:rPr>
        <w:t>fica responsable y desarrollo tecnol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gico propuestas por el Vicerrectorado de Investigaci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n, Desarrollo e Innovaci</w:t>
      </w:r>
      <w:r w:rsidRPr="00430FC4">
        <w:rPr>
          <w:rFonts w:ascii="Arial" w:hAnsi="Arial" w:cs="Arial" w:hint="eastAsia"/>
          <w:sz w:val="22"/>
          <w:szCs w:val="22"/>
        </w:rPr>
        <w:t>ó</w:t>
      </w:r>
      <w:r w:rsidRPr="00430FC4">
        <w:rPr>
          <w:rFonts w:ascii="Arial" w:hAnsi="Arial" w:cs="Arial"/>
          <w:sz w:val="22"/>
          <w:szCs w:val="22"/>
        </w:rPr>
        <w:t>n (</w:t>
      </w:r>
      <w:proofErr w:type="spellStart"/>
      <w:r w:rsidRPr="00430FC4">
        <w:rPr>
          <w:rFonts w:ascii="Arial" w:hAnsi="Arial" w:cs="Arial"/>
          <w:sz w:val="22"/>
          <w:szCs w:val="22"/>
        </w:rPr>
        <w:t>I+D+i</w:t>
      </w:r>
      <w:proofErr w:type="spellEnd"/>
      <w:r w:rsidRPr="00430FC4">
        <w:rPr>
          <w:rFonts w:ascii="Arial" w:hAnsi="Arial" w:cs="Arial"/>
          <w:sz w:val="22"/>
          <w:szCs w:val="22"/>
        </w:rPr>
        <w:t>).</w:t>
      </w:r>
    </w:p>
    <w:p w:rsidR="00BC03B5" w:rsidRPr="00BC03B5" w:rsidRDefault="00BC03B5" w:rsidP="0089035C">
      <w:pPr>
        <w:ind w:right="-336"/>
        <w:jc w:val="both"/>
        <w:rPr>
          <w:rFonts w:ascii="Arial" w:hAnsi="Arial" w:cs="Arial"/>
          <w:sz w:val="22"/>
          <w:szCs w:val="22"/>
        </w:rPr>
      </w:pPr>
    </w:p>
    <w:p w:rsidR="00BC03B5" w:rsidRDefault="00BC03B5" w:rsidP="0089035C">
      <w:pPr>
        <w:pStyle w:val="Prrafodelista"/>
        <w:numPr>
          <w:ilvl w:val="1"/>
          <w:numId w:val="1"/>
        </w:numPr>
        <w:ind w:left="0" w:right="-336" w:firstLine="0"/>
        <w:jc w:val="both"/>
        <w:rPr>
          <w:rFonts w:ascii="Arial" w:hAnsi="Arial" w:cs="Arial"/>
          <w:sz w:val="22"/>
          <w:szCs w:val="22"/>
        </w:rPr>
      </w:pPr>
      <w:r w:rsidRPr="00000E45">
        <w:rPr>
          <w:rFonts w:ascii="Arial" w:hAnsi="Arial" w:cs="Arial"/>
          <w:sz w:val="22"/>
          <w:szCs w:val="22"/>
        </w:rPr>
        <w:t xml:space="preserve">Mediante </w:t>
      </w:r>
      <w:r w:rsidRPr="00DE750D">
        <w:rPr>
          <w:rFonts w:ascii="Arial" w:hAnsi="Arial" w:cs="Arial"/>
          <w:sz w:val="22"/>
          <w:szCs w:val="22"/>
        </w:rPr>
        <w:t>Informe de justificaci</w:t>
      </w:r>
      <w:r w:rsidRPr="00DE750D">
        <w:rPr>
          <w:rFonts w:ascii="Arial" w:hAnsi="Arial" w:cs="Arial" w:hint="eastAsia"/>
          <w:sz w:val="22"/>
          <w:szCs w:val="22"/>
        </w:rPr>
        <w:t>ó</w:t>
      </w:r>
      <w:r w:rsidRPr="00DE750D">
        <w:rPr>
          <w:rFonts w:ascii="Arial" w:hAnsi="Arial" w:cs="Arial"/>
          <w:sz w:val="22"/>
          <w:szCs w:val="22"/>
        </w:rPr>
        <w:t>n t</w:t>
      </w:r>
      <w:r w:rsidRPr="00DE750D">
        <w:rPr>
          <w:rFonts w:ascii="Arial" w:hAnsi="Arial" w:cs="Arial" w:hint="eastAsia"/>
          <w:sz w:val="22"/>
          <w:szCs w:val="22"/>
        </w:rPr>
        <w:t>é</w:t>
      </w:r>
      <w:r w:rsidRPr="00DE750D">
        <w:rPr>
          <w:rFonts w:ascii="Arial" w:hAnsi="Arial" w:cs="Arial"/>
          <w:sz w:val="22"/>
          <w:szCs w:val="22"/>
        </w:rPr>
        <w:t>cnica</w:t>
      </w:r>
      <w:r w:rsidRPr="00000E45">
        <w:rPr>
          <w:rFonts w:ascii="Arial" w:hAnsi="Arial" w:cs="Arial"/>
          <w:sz w:val="22"/>
          <w:szCs w:val="22"/>
        </w:rPr>
        <w:t xml:space="preserve"> del </w:t>
      </w:r>
      <w:r w:rsidRPr="00000E45">
        <w:rPr>
          <w:rFonts w:ascii="Arial" w:hAnsi="Arial" w:cs="Arial"/>
          <w:sz w:val="20"/>
          <w:szCs w:val="20"/>
          <w:highlight w:val="green"/>
        </w:rPr>
        <w:t>DIA-MES-AÑO</w:t>
      </w:r>
      <w:r w:rsidRPr="00000E45">
        <w:rPr>
          <w:rFonts w:ascii="Arial" w:hAnsi="Arial" w:cs="Arial"/>
          <w:sz w:val="22"/>
          <w:szCs w:val="22"/>
        </w:rPr>
        <w:t>, la “</w:t>
      </w:r>
      <w:r w:rsidRPr="00000E45">
        <w:rPr>
          <w:rFonts w:ascii="Arial" w:hAnsi="Arial" w:cs="Arial"/>
          <w:sz w:val="22"/>
          <w:szCs w:val="22"/>
          <w:highlight w:val="green"/>
          <w:lang w:val="es-419"/>
        </w:rPr>
        <w:t>NOMBRE DEL ÁREA REQUIRENTE</w:t>
      </w:r>
      <w:r w:rsidRPr="00000E45">
        <w:rPr>
          <w:rFonts w:ascii="Arial" w:hAnsi="Arial" w:cs="Arial"/>
          <w:sz w:val="22"/>
          <w:szCs w:val="22"/>
          <w:lang w:val="es-419"/>
        </w:rPr>
        <w:t>”</w:t>
      </w:r>
      <w:r>
        <w:rPr>
          <w:rFonts w:ascii="Arial" w:hAnsi="Arial" w:cs="Arial"/>
          <w:sz w:val="22"/>
          <w:szCs w:val="22"/>
        </w:rPr>
        <w:t>, justificó que contratación de</w:t>
      </w:r>
      <w:r w:rsidRPr="00000E45">
        <w:rPr>
          <w:rFonts w:ascii="Arial" w:hAnsi="Arial" w:cs="Arial"/>
          <w:sz w:val="22"/>
          <w:szCs w:val="22"/>
        </w:rPr>
        <w:t xml:space="preserve"> “</w:t>
      </w:r>
      <w:r w:rsidRPr="00000E45">
        <w:rPr>
          <w:rFonts w:ascii="Arial" w:hAnsi="Arial" w:cs="Arial"/>
          <w:sz w:val="22"/>
          <w:szCs w:val="22"/>
          <w:highlight w:val="green"/>
        </w:rPr>
        <w:t>OBJETO DE CONTRATACIÓN</w:t>
      </w:r>
      <w:r w:rsidRPr="00000E45">
        <w:rPr>
          <w:rFonts w:ascii="Arial" w:hAnsi="Arial" w:cs="Arial"/>
          <w:sz w:val="22"/>
          <w:szCs w:val="22"/>
        </w:rPr>
        <w:t xml:space="preserve">” </w:t>
      </w:r>
      <w:r w:rsidRPr="00DE750D">
        <w:rPr>
          <w:rFonts w:ascii="Arial" w:hAnsi="Arial" w:cs="Arial"/>
          <w:sz w:val="22"/>
          <w:szCs w:val="22"/>
        </w:rPr>
        <w:t>est</w:t>
      </w:r>
      <w:r w:rsidRPr="00DE750D">
        <w:rPr>
          <w:rFonts w:ascii="Arial" w:hAnsi="Arial" w:cs="Arial" w:hint="eastAsia"/>
          <w:sz w:val="22"/>
          <w:szCs w:val="22"/>
        </w:rPr>
        <w:t>á</w:t>
      </w:r>
      <w:r w:rsidRPr="00DE750D">
        <w:rPr>
          <w:rFonts w:ascii="Arial" w:hAnsi="Arial" w:cs="Arial"/>
          <w:sz w:val="22"/>
          <w:szCs w:val="22"/>
        </w:rPr>
        <w:t xml:space="preserve"> relacionada directamente con la investigaci</w:t>
      </w:r>
      <w:r w:rsidRPr="00DE750D">
        <w:rPr>
          <w:rFonts w:ascii="Arial" w:hAnsi="Arial" w:cs="Arial" w:hint="eastAsia"/>
          <w:sz w:val="22"/>
          <w:szCs w:val="22"/>
        </w:rPr>
        <w:t>ó</w:t>
      </w:r>
      <w:r w:rsidRPr="00DE750D">
        <w:rPr>
          <w:rFonts w:ascii="Arial" w:hAnsi="Arial" w:cs="Arial"/>
          <w:sz w:val="22"/>
          <w:szCs w:val="22"/>
        </w:rPr>
        <w:t>n cient</w:t>
      </w:r>
      <w:r w:rsidRPr="00DE750D">
        <w:rPr>
          <w:rFonts w:ascii="Arial" w:hAnsi="Arial" w:cs="Arial" w:hint="eastAsia"/>
          <w:sz w:val="22"/>
          <w:szCs w:val="22"/>
        </w:rPr>
        <w:t>í</w:t>
      </w:r>
      <w:r w:rsidRPr="00DE750D">
        <w:rPr>
          <w:rFonts w:ascii="Arial" w:hAnsi="Arial" w:cs="Arial"/>
          <w:sz w:val="22"/>
          <w:szCs w:val="22"/>
        </w:rPr>
        <w:t>fica responsable, o los procesos investigativos pedag</w:t>
      </w:r>
      <w:r w:rsidRPr="00DE750D">
        <w:rPr>
          <w:rFonts w:ascii="Arial" w:hAnsi="Arial" w:cs="Arial" w:hint="eastAsia"/>
          <w:sz w:val="22"/>
          <w:szCs w:val="22"/>
        </w:rPr>
        <w:t>ó</w:t>
      </w:r>
      <w:r w:rsidRPr="00DE750D">
        <w:rPr>
          <w:rFonts w:ascii="Arial" w:hAnsi="Arial" w:cs="Arial"/>
          <w:sz w:val="22"/>
          <w:szCs w:val="22"/>
        </w:rPr>
        <w:t>gicos, o el desarrollo tecnol</w:t>
      </w:r>
      <w:r w:rsidRPr="00DE750D">
        <w:rPr>
          <w:rFonts w:ascii="Arial" w:hAnsi="Arial" w:cs="Arial" w:hint="eastAsia"/>
          <w:sz w:val="22"/>
          <w:szCs w:val="22"/>
        </w:rPr>
        <w:t>ó</w:t>
      </w:r>
      <w:r w:rsidRPr="00DE750D">
        <w:rPr>
          <w:rFonts w:ascii="Arial" w:hAnsi="Arial" w:cs="Arial"/>
          <w:sz w:val="22"/>
          <w:szCs w:val="22"/>
        </w:rPr>
        <w:t>gico</w:t>
      </w:r>
      <w:r>
        <w:rPr>
          <w:rFonts w:ascii="Arial" w:hAnsi="Arial" w:cs="Arial"/>
          <w:sz w:val="22"/>
          <w:szCs w:val="22"/>
        </w:rPr>
        <w:t>.</w:t>
      </w:r>
    </w:p>
    <w:p w:rsidR="00BC03B5" w:rsidRPr="00BC03B5" w:rsidRDefault="00BC03B5" w:rsidP="00BC03B5">
      <w:pPr>
        <w:ind w:right="-336"/>
        <w:jc w:val="both"/>
        <w:rPr>
          <w:rFonts w:ascii="Arial" w:hAnsi="Arial" w:cs="Arial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informe de necesidad del </w:t>
      </w:r>
      <w:r>
        <w:rPr>
          <w:rFonts w:ascii="Arial" w:eastAsia="Arial" w:hAnsi="Arial" w:cs="Arial"/>
          <w:color w:val="000000"/>
          <w:sz w:val="20"/>
          <w:szCs w:val="20"/>
          <w:highlight w:val="green"/>
        </w:rPr>
        <w:t>DIA-MES-AÑO</w:t>
      </w:r>
      <w:r>
        <w:rPr>
          <w:rFonts w:ascii="Arial" w:eastAsia="Arial" w:hAnsi="Arial" w:cs="Arial"/>
          <w:color w:val="000000"/>
          <w:sz w:val="22"/>
          <w:szCs w:val="22"/>
        </w:rPr>
        <w:t>, la “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NOMBRE DEL ÁREA REQUIRENTE</w:t>
      </w:r>
      <w:r>
        <w:rPr>
          <w:rFonts w:ascii="Arial" w:eastAsia="Arial" w:hAnsi="Arial" w:cs="Arial"/>
          <w:color w:val="000000"/>
          <w:sz w:val="22"/>
          <w:szCs w:val="22"/>
        </w:rPr>
        <w:t>”, justificó las razones para la “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OBJETO DE CONTRATACIÓN</w:t>
      </w:r>
      <w:r>
        <w:rPr>
          <w:rFonts w:ascii="Arial" w:eastAsia="Arial" w:hAnsi="Arial" w:cs="Arial"/>
          <w:color w:val="000000"/>
          <w:sz w:val="22"/>
          <w:szCs w:val="22"/>
        </w:rPr>
        <w:t>”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.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solicitud de compra XXXX-20XX-XXX del </w:t>
      </w:r>
      <w:r>
        <w:rPr>
          <w:rFonts w:ascii="Arial" w:eastAsia="Arial" w:hAnsi="Arial" w:cs="Arial"/>
          <w:color w:val="000000"/>
          <w:sz w:val="20"/>
          <w:szCs w:val="20"/>
          <w:highlight w:val="green"/>
        </w:rPr>
        <w:t>DIA-MES-AÑO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el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TITULO-NOMBRE-CARGO-FUNCIONARIO-UNIDAD REQUIRENTE</w:t>
      </w:r>
      <w:r>
        <w:rPr>
          <w:rFonts w:ascii="Arial" w:eastAsia="Arial" w:hAnsi="Arial" w:cs="Arial"/>
          <w:color w:val="000000"/>
          <w:sz w:val="22"/>
          <w:szCs w:val="22"/>
        </w:rPr>
        <w:t>, solicitó la contratación de “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OBJETO DE CONTRATACIÓN</w:t>
      </w:r>
      <w:r>
        <w:rPr>
          <w:rFonts w:ascii="Arial" w:eastAsia="Arial" w:hAnsi="Arial" w:cs="Arial"/>
          <w:color w:val="000000"/>
          <w:sz w:val="22"/>
          <w:szCs w:val="22"/>
        </w:rPr>
        <w:t>”.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documento del </w:t>
      </w:r>
      <w:r>
        <w:rPr>
          <w:rFonts w:ascii="Arial" w:eastAsia="Arial" w:hAnsi="Arial" w:cs="Arial"/>
          <w:color w:val="000000"/>
          <w:sz w:val="20"/>
          <w:szCs w:val="20"/>
          <w:highlight w:val="green"/>
        </w:rPr>
        <w:t>DIA-MES-AÑO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el Analista de Compras Pública realizó la verificación del PAC para la “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OBJETO DE CONTRATACIÓN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” y confirmó que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SI/NO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encuentra establecido en el PAC.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documento del </w:t>
      </w:r>
      <w:r>
        <w:rPr>
          <w:rFonts w:ascii="Arial" w:eastAsia="Arial" w:hAnsi="Arial" w:cs="Arial"/>
          <w:color w:val="000000"/>
          <w:sz w:val="20"/>
          <w:szCs w:val="20"/>
          <w:highlight w:val="green"/>
        </w:rPr>
        <w:t xml:space="preserve">DIA-MES-AÑO </w:t>
      </w:r>
      <w:r>
        <w:rPr>
          <w:rFonts w:ascii="Arial" w:eastAsia="Arial" w:hAnsi="Arial" w:cs="Arial"/>
          <w:color w:val="000000"/>
          <w:sz w:val="22"/>
          <w:szCs w:val="22"/>
        </w:rPr>
        <w:t>el Analista de Compras Pública realizó la verificación en el catálogo electrónico del SERCOP para la “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OBJETO DE CONTRATACIÓN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” y confirmó que el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bien/servicio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SI/NO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encuentra catalogado.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documento del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DIA-MES-AÑO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el Analista de compras Públicas realizó la verificación en el portal del SERCOP respecto de los Acuerdos Comerciales para la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OBJETO DE CONTRATACIÓN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” y confirmó que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SI/NO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aplican.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correo electrónico del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DIA-MES-AÑO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solicitó al área requirente que informe el CPC de los servicios.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336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Mediante correo electrónico del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DIA-MES-AÑO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el área requirente informó el código CPC de los ítems</w:t>
      </w:r>
    </w:p>
    <w:p w:rsidR="00D73611" w:rsidRDefault="00D736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2.- Análisis del servicio a ser contratado: términos de referencia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Escuela Superior Politécnica del Litoral requiere la contratación de “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OBJETO DEL CONTRATO</w:t>
      </w:r>
      <w:r>
        <w:rPr>
          <w:rFonts w:ascii="Arial" w:eastAsia="Arial" w:hAnsi="Arial" w:cs="Arial"/>
          <w:color w:val="1D1B11"/>
          <w:sz w:val="22"/>
          <w:szCs w:val="22"/>
        </w:rPr>
        <w:t>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acuerdo con las condiciones que se describen en el documento término de referencia.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 xml:space="preserve">Resumir los términos de referencia 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D73611" w:rsidRDefault="0089035C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 w:rsidRPr="00464CAC">
        <w:rPr>
          <w:rFonts w:ascii="Arial" w:eastAsia="Times New Roman" w:hAnsi="Arial" w:cs="Arial"/>
          <w:sz w:val="22"/>
          <w:szCs w:val="22"/>
        </w:rPr>
        <w:t>El CPC que guarda relación con el objeto de contratación</w:t>
      </w:r>
      <w:r>
        <w:rPr>
          <w:rFonts w:ascii="Arial" w:eastAsia="Times New Roman" w:hAnsi="Arial" w:cs="Arial"/>
          <w:sz w:val="22"/>
          <w:szCs w:val="22"/>
        </w:rPr>
        <w:t xml:space="preserve">, </w:t>
      </w:r>
      <w:r w:rsidRPr="00B34FC5">
        <w:rPr>
          <w:rFonts w:ascii="Arial" w:eastAsia="Times New Roman" w:hAnsi="Arial" w:cs="Arial"/>
          <w:sz w:val="22"/>
          <w:szCs w:val="22"/>
        </w:rPr>
        <w:t>en concordancia con la Resoluci</w:t>
      </w:r>
      <w:r w:rsidRPr="00B34FC5">
        <w:rPr>
          <w:rFonts w:ascii="Arial" w:eastAsia="Times New Roman" w:hAnsi="Arial" w:cs="Arial" w:hint="eastAsia"/>
          <w:sz w:val="22"/>
          <w:szCs w:val="22"/>
        </w:rPr>
        <w:t>ó</w:t>
      </w:r>
      <w:r w:rsidRPr="00B34FC5">
        <w:rPr>
          <w:rFonts w:ascii="Arial" w:eastAsia="Times New Roman" w:hAnsi="Arial" w:cs="Arial"/>
          <w:sz w:val="22"/>
          <w:szCs w:val="22"/>
        </w:rPr>
        <w:t>n Nro. R-059-2025, emitida por la Rectora de ESPOL</w:t>
      </w:r>
      <w:r w:rsidRPr="00464CAC">
        <w:rPr>
          <w:rFonts w:ascii="Arial" w:eastAsia="Times New Roman" w:hAnsi="Arial" w:cs="Arial"/>
          <w:sz w:val="22"/>
          <w:szCs w:val="22"/>
        </w:rPr>
        <w:t xml:space="preserve"> y</w:t>
      </w:r>
      <w:r w:rsidR="00131D97">
        <w:rPr>
          <w:rFonts w:ascii="Arial" w:eastAsia="Arial" w:hAnsi="Arial" w:cs="Arial"/>
          <w:sz w:val="22"/>
          <w:szCs w:val="22"/>
        </w:rPr>
        <w:t xml:space="preserve"> que representa el mayor porcentaje en función del instrumento de determinación del presupuesto referencial es: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9"/>
        <w:tblW w:w="8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374"/>
      </w:tblGrid>
      <w:tr w:rsidR="00D73611">
        <w:tc>
          <w:tcPr>
            <w:tcW w:w="3114" w:type="dxa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highlight w:val="green"/>
              </w:rPr>
              <w:t>Código CPC (9 dígitos)</w:t>
            </w:r>
          </w:p>
        </w:tc>
        <w:tc>
          <w:tcPr>
            <w:tcW w:w="5374" w:type="dxa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highlight w:val="green"/>
              </w:rPr>
              <w:t>Descripción del código</w:t>
            </w:r>
          </w:p>
        </w:tc>
      </w:tr>
      <w:tr w:rsidR="00D73611">
        <w:tc>
          <w:tcPr>
            <w:tcW w:w="3114" w:type="dxa"/>
          </w:tcPr>
          <w:p w:rsidR="00D73611" w:rsidRDefault="00D73611">
            <w:pPr>
              <w:ind w:right="-336"/>
              <w:jc w:val="both"/>
              <w:rPr>
                <w:rFonts w:ascii="Arial" w:eastAsia="Arial" w:hAnsi="Arial" w:cs="Arial"/>
                <w:color w:val="000000"/>
                <w:highlight w:val="green"/>
              </w:rPr>
            </w:pPr>
          </w:p>
        </w:tc>
        <w:tc>
          <w:tcPr>
            <w:tcW w:w="5374" w:type="dxa"/>
          </w:tcPr>
          <w:p w:rsidR="00D73611" w:rsidRDefault="00D73611">
            <w:pPr>
              <w:ind w:right="-336"/>
              <w:jc w:val="both"/>
              <w:rPr>
                <w:rFonts w:ascii="Arial" w:eastAsia="Arial" w:hAnsi="Arial" w:cs="Arial"/>
                <w:color w:val="000000"/>
                <w:highlight w:val="green"/>
              </w:rPr>
            </w:pP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3.- Búsqueda de información de consultorías similares.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240515" w:rsidRDefault="00240515" w:rsidP="0024051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 cumplimiento del artículo 14 de los Lineamientos para la optimización del gasto público publicados en el Segundo Suplemento del Registro Oficial No. 87, 20 de junio 2022, se procedió a realizar la búsqueda de consultorías en la herramienta que habilitada por el SERCOP y que se encuentra en el siguiente sitio web:</w:t>
      </w:r>
    </w:p>
    <w:p w:rsidR="00240515" w:rsidRDefault="00240515" w:rsidP="00240515">
      <w:pPr>
        <w:spacing w:line="259" w:lineRule="auto"/>
        <w:jc w:val="both"/>
        <w:rPr>
          <w:rFonts w:ascii="Play" w:eastAsia="Play" w:hAnsi="Play" w:cs="Play"/>
          <w:b/>
          <w:bCs/>
          <w:color w:val="000000"/>
          <w:sz w:val="22"/>
          <w:szCs w:val="22"/>
        </w:rPr>
      </w:pPr>
    </w:p>
    <w:p w:rsidR="00240515" w:rsidRDefault="00240515" w:rsidP="00240515">
      <w:pPr>
        <w:spacing w:line="259" w:lineRule="auto"/>
        <w:jc w:val="both"/>
        <w:rPr>
          <w:rFonts w:ascii="Calibri" w:eastAsia="Calibri" w:hAnsi="Calibri" w:cs="Calibri"/>
          <w:color w:val="0563C1"/>
          <w:sz w:val="22"/>
          <w:szCs w:val="22"/>
          <w:u w:val="single"/>
        </w:rPr>
      </w:pPr>
      <w:hyperlink r:id="rId8">
        <w:r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https://app.powerbi.com/view?r=eyJrIjoiNmU2MWI4MTktMjM1MC00ZGQ0LWExMTEtOTA4OTY3YzJiODU4IiwidCI6ImQ2NDk2NzM4LWY5MTItNGExZS04NDE1LTQwY2E2ZjRhOTRlZCJ9</w:t>
        </w:r>
      </w:hyperlink>
      <w:r>
        <w:rPr>
          <w:rFonts w:ascii="Calibri" w:eastAsia="Calibri" w:hAnsi="Calibri" w:cs="Calibri"/>
          <w:color w:val="0563C1"/>
          <w:sz w:val="22"/>
          <w:szCs w:val="22"/>
          <w:u w:val="single"/>
        </w:rPr>
        <w:t xml:space="preserve"> </w:t>
      </w:r>
    </w:p>
    <w:p w:rsidR="00240515" w:rsidRDefault="00240515" w:rsidP="00240515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240515" w:rsidRDefault="00240515" w:rsidP="00240515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240515" w:rsidRDefault="00240515" w:rsidP="00240515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green"/>
        </w:rPr>
        <w:t>pegar captura de pantalla de la búsqueda</w:t>
      </w:r>
    </w:p>
    <w:p w:rsidR="00240515" w:rsidRDefault="00240515" w:rsidP="00240515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Ejemplo:</w:t>
      </w:r>
    </w:p>
    <w:p w:rsidR="00240515" w:rsidRDefault="00240515" w:rsidP="00240515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240515" w:rsidRDefault="00240515" w:rsidP="00240515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Se procedió a la descarga del documento en formato Excel y se identificaron las consultorías publicadas bajo el código CPC XXXXXXXXX, en el anexo 1 se encuentra el listado de las consultorías que fueron publicadas por el Estado con el código CPC antes mencionado, las cuales corresponden a procesos similares, sin embargo, los mismos cumplen/no cumplen con el requerimiento puntual que necesita la ESPOL.</w:t>
      </w:r>
    </w:p>
    <w:p w:rsidR="00240515" w:rsidRDefault="00240515" w:rsidP="00240515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240515" w:rsidRDefault="00240515" w:rsidP="00240515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Por lo tanto, la inclusión de estos procesos no/si aporta información relevante ni adecuada para la evaluación del presente proceso de contratación.</w:t>
      </w:r>
    </w:p>
    <w:p w:rsidR="00240515" w:rsidRDefault="00240515" w:rsidP="00240515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ab/>
      </w:r>
    </w:p>
    <w:p w:rsidR="00D73611" w:rsidRDefault="00131D97">
      <w:pPr>
        <w:pStyle w:val="Subttulo"/>
        <w:spacing w:after="0"/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>4.- Proformas de consultores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BC03B5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 w:rsidRPr="00464CA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Con el fin de conocer los precios actuales en el mercado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con fecha </w:t>
      </w:r>
      <w:r w:rsidRPr="00534B1F">
        <w:rPr>
          <w:rStyle w:val="normaltextrun"/>
          <w:rFonts w:ascii="Arial" w:hAnsi="Arial" w:cs="Arial"/>
          <w:color w:val="000000"/>
          <w:sz w:val="22"/>
          <w:szCs w:val="22"/>
          <w:highlight w:val="green"/>
          <w:shd w:val="clear" w:color="auto" w:fill="FFFFFF"/>
        </w:rPr>
        <w:t>XXX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, mediante correo electrónico,</w:t>
      </w:r>
      <w:r w:rsidRPr="00464CA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se requirió cotizaciones a diversos proveedores</w:t>
      </w:r>
      <w:r>
        <w:rPr>
          <w:rFonts w:asciiTheme="majorHAnsi" w:hAnsiTheme="majorHAnsi" w:cstheme="majorHAnsi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otorgando el término de </w:t>
      </w:r>
      <w:r w:rsidRPr="00AD6C97">
        <w:rPr>
          <w:color w:val="000000" w:themeColor="text1"/>
          <w:highlight w:val="green"/>
        </w:rPr>
        <w:t>XX</w:t>
      </w:r>
      <w:r w:rsidRPr="00AD6C9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días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para presentar sus propuestas</w:t>
      </w:r>
      <w:r w:rsidRPr="00464CA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, obteniendo las siguientes</w:t>
      </w:r>
      <w:r w:rsidR="00131D97">
        <w:rPr>
          <w:rFonts w:ascii="Arial" w:eastAsia="Arial" w:hAnsi="Arial" w:cs="Arial"/>
          <w:color w:val="000000"/>
          <w:sz w:val="22"/>
          <w:szCs w:val="22"/>
          <w:highlight w:val="white"/>
        </w:rPr>
        <w:t>: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tbl>
      <w:tblPr>
        <w:tblStyle w:val="aa"/>
        <w:tblpPr w:leftFromText="141" w:rightFromText="141" w:vertAnchor="text" w:tblpX="-572"/>
        <w:tblW w:w="1020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3"/>
        <w:gridCol w:w="2260"/>
        <w:gridCol w:w="2783"/>
        <w:gridCol w:w="696"/>
        <w:gridCol w:w="1304"/>
        <w:gridCol w:w="1418"/>
        <w:gridCol w:w="1418"/>
      </w:tblGrid>
      <w:tr w:rsidR="00D73611" w:rsidTr="0017336A">
        <w:trPr>
          <w:trHeight w:val="70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Ruc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4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Razón social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128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Valor 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IVA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8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Fecha de recepción proforma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8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Fecha límite de recepción de proformas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8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Medio de recepción</w:t>
            </w:r>
          </w:p>
        </w:tc>
      </w:tr>
      <w:tr w:rsidR="00D73611" w:rsidTr="0017336A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XXXXXXXXXXXXXXXX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4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XXXXXXXXXXXXXXXXXXXX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12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00.00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Indicar fecha de la proforma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Indicar fecha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Correo/portal</w:t>
            </w:r>
          </w:p>
        </w:tc>
      </w:tr>
      <w:tr w:rsidR="00D73611" w:rsidTr="0017336A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XXXXXXXXXXXXXXXX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4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XXXXXXXXXXXXXXXXXXXX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12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00.00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D73611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D73611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D73611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</w:tr>
      <w:tr w:rsidR="00D73611" w:rsidTr="0017336A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3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XXXXXXXXXXXXXXXX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14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XXXXXXXXXXXXXXXXXXXX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131D97" w:rsidP="0017336A">
            <w:pPr>
              <w:ind w:right="-12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  <w:t>00.00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D73611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D73611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611" w:rsidRDefault="00D73611" w:rsidP="0017336A">
            <w:pPr>
              <w:ind w:right="18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Proveedor 1: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Nombre del proveedor</w:t>
      </w:r>
    </w:p>
    <w:tbl>
      <w:tblPr>
        <w:tblStyle w:val="ab"/>
        <w:tblW w:w="9635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6"/>
        <w:gridCol w:w="3086"/>
        <w:gridCol w:w="911"/>
        <w:gridCol w:w="1534"/>
        <w:gridCol w:w="2014"/>
        <w:gridCol w:w="1134"/>
      </w:tblGrid>
      <w:tr w:rsidR="00D73611"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ÍTEM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20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PRECIO UNITARIO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73611">
        <w:tc>
          <w:tcPr>
            <w:tcW w:w="9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30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9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20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00.00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00.00</w:t>
            </w: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Ejemplo: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La proforma del proveedor 1 cumple por lo que será considerada para el presente instrumento.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Ejemplo: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La proforma del proveedor 1 no cumple debido a (indicar justificación) por lo que no será considerada para el presente instrumento.</w:t>
      </w:r>
    </w:p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Proveedor 2: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Nombre del proveedor</w:t>
      </w:r>
    </w:p>
    <w:tbl>
      <w:tblPr>
        <w:tblStyle w:val="ac"/>
        <w:tblW w:w="9635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6"/>
        <w:gridCol w:w="3086"/>
        <w:gridCol w:w="911"/>
        <w:gridCol w:w="1534"/>
        <w:gridCol w:w="2014"/>
        <w:gridCol w:w="1134"/>
      </w:tblGrid>
      <w:tr w:rsidR="00D73611"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ÍTEM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20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PRECIO UNITARIO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73611">
        <w:tc>
          <w:tcPr>
            <w:tcW w:w="9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30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9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20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00.00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00.00</w:t>
            </w: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Proveedor 3: 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Nombre del proveedor</w:t>
      </w:r>
    </w:p>
    <w:tbl>
      <w:tblPr>
        <w:tblStyle w:val="ad"/>
        <w:tblW w:w="9635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6"/>
        <w:gridCol w:w="3086"/>
        <w:gridCol w:w="911"/>
        <w:gridCol w:w="1534"/>
        <w:gridCol w:w="2014"/>
        <w:gridCol w:w="1134"/>
      </w:tblGrid>
      <w:tr w:rsidR="00D73611"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ÍTEM</w:t>
            </w:r>
          </w:p>
        </w:tc>
        <w:tc>
          <w:tcPr>
            <w:tcW w:w="3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20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PRECIO UNITARIO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73611">
        <w:tc>
          <w:tcPr>
            <w:tcW w:w="9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308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9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XXX</w:t>
            </w:r>
          </w:p>
        </w:tc>
        <w:tc>
          <w:tcPr>
            <w:tcW w:w="20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00.00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  <w:t>00.00</w:t>
            </w:r>
          </w:p>
        </w:tc>
      </w:tr>
    </w:tbl>
    <w:p w:rsidR="00D73611" w:rsidRDefault="00D73611">
      <w:pPr>
        <w:pStyle w:val="Subttulo"/>
        <w:spacing w:after="0"/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</w:p>
    <w:p w:rsidR="00D73611" w:rsidRDefault="00131D97">
      <w:pPr>
        <w:ind w:right="-336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5.- Definición de naturaleza del consultor</w:t>
      </w:r>
    </w:p>
    <w:p w:rsidR="00D73611" w:rsidRDefault="00D73611">
      <w:pPr>
        <w:ind w:right="-336"/>
        <w:rPr>
          <w:rFonts w:ascii="Arial" w:eastAsia="Arial" w:hAnsi="Arial" w:cs="Arial"/>
          <w:b/>
          <w:bCs/>
          <w:sz w:val="22"/>
          <w:szCs w:val="22"/>
        </w:rPr>
      </w:pPr>
    </w:p>
    <w:p w:rsidR="00D73611" w:rsidRDefault="00131D97">
      <w:pPr>
        <w:ind w:right="-3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De acuerdo al Art. 162 del Reglamento a la LOSNCP, se debe definir la naturaleza de los consultores que pueden</w:t>
      </w:r>
      <w:r w:rsidR="00BC03B5">
        <w:rPr>
          <w:rFonts w:ascii="Arial" w:eastAsia="Arial" w:hAnsi="Arial" w:cs="Arial"/>
          <w:sz w:val="22"/>
          <w:szCs w:val="22"/>
          <w:highlight w:val="yellow"/>
        </w:rPr>
        <w:t xml:space="preserve"> ser: Consultores individuales,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firmas consultoras u organismos que estén facultados para ofrecer consultoría.</w:t>
      </w:r>
    </w:p>
    <w:p w:rsidR="00D73611" w:rsidRDefault="00D73611">
      <w:pPr>
        <w:ind w:right="-336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Ejemplo</w:t>
      </w:r>
    </w:p>
    <w:p w:rsidR="00D73611" w:rsidRDefault="00D73611">
      <w:pPr>
        <w:ind w:right="-336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Dado que de la solicitud de proformas realizada para la presente contratación se ha recibido respuesta de consultores individuales y en concordancia con el Art. 162 del Reglamento a la LOSNCP, se define que, para esta contratación los participantes sean Consultores Individuales.</w:t>
      </w:r>
    </w:p>
    <w:p w:rsidR="00D73611" w:rsidRDefault="00D73611">
      <w:pPr>
        <w:ind w:right="-336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pStyle w:val="Subttulo"/>
        <w:spacing w:after="0"/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>6.- Presupuesto Referencial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6.1.- Costos Directos</w:t>
      </w:r>
    </w:p>
    <w:p w:rsidR="00D73611" w:rsidRDefault="00D73611">
      <w:pPr>
        <w:ind w:right="-336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Detallar los costos directos que aplican en la presente consultoría que pueden ser entre otros: 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Ejemplo: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Las remuneraciones, los beneficios o cargas sociales del equipo de trabajo, los viajes y viáticos; los subcontratos y servicios varios, arrendamientos y alquileres de vehículos, equipos e instalaciones; suministros y materiales: reproducciones, ediciones y publicaciones.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(Se debe indicar si se escoge el valor promedio/valor más bajo/valor más alto, con su respectiva justificación, de cada componente cotizado por los consultores)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915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756"/>
        <w:gridCol w:w="1985"/>
        <w:gridCol w:w="607"/>
        <w:gridCol w:w="607"/>
        <w:gridCol w:w="882"/>
        <w:gridCol w:w="707"/>
        <w:gridCol w:w="774"/>
        <w:gridCol w:w="851"/>
        <w:gridCol w:w="992"/>
        <w:gridCol w:w="992"/>
      </w:tblGrid>
      <w:tr w:rsidR="00D73611">
        <w:trPr>
          <w:trHeight w:val="293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CANTIDAD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PERSONAL TÉCNICO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TIEMPO TOTAL (DIAS 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TIEMPO TOTAL (DIAS 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 PORCENTAJE PARTICIP. REAL (%)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 TIEMPO PREVISTO REAL (MESES)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 TIEMPO PREVISTO REAL (DÍAS)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SUELDO </w:t>
            </w:r>
          </w:p>
        </w:tc>
      </w:tr>
      <w:tr w:rsidR="00D73611">
        <w:trPr>
          <w:trHeight w:val="29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</w:tr>
      <w:tr w:rsidR="00D73611">
        <w:trPr>
          <w:trHeight w:val="29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MENSUAL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MENSUAL PARTICIP.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TOTAL</w:t>
            </w:r>
          </w:p>
        </w:tc>
      </w:tr>
      <w:tr w:rsidR="00D73611">
        <w:trPr>
          <w:trHeight w:val="29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PERSONAL TÉCNICO CLAVE</w:t>
            </w: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JEFE DE FISCALIZACIÓN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RESIDENTE DE FISCALIZACIÓN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ESPECIALISTA ELÉCTRICO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ESPECIALISTA ESTRUCTURAL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ESPECIALISTA HIDROSANITARIO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ESPECIALISTA SISTEMA CONTRA INCENDIOS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PROFESIONAL SEGURIDAD INDUSTRIAL Y SALUD OCUPACIONAL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 xml:space="preserve">PROFESIONAL AMBIENTAL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PERSONAL TÉCNICO ESPECIAL </w:t>
            </w: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ASISTENTE DE OBRA (ARQ O ING CIVIL JUNIOR)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PERSONAL AUXILIAR </w:t>
            </w: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ASISTENTE GENERAL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 xml:space="preserve">CHOFER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Play" w:eastAsia="Play" w:hAnsi="Play" w:cs="Play"/>
                <w:sz w:val="14"/>
                <w:szCs w:val="14"/>
              </w:rPr>
            </w:pPr>
          </w:p>
        </w:tc>
      </w:tr>
      <w:tr w:rsidR="00D73611">
        <w:trPr>
          <w:trHeight w:val="57"/>
        </w:trPr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sz w:val="14"/>
                <w:szCs w:val="14"/>
              </w:rPr>
            </w:pPr>
            <w:r>
              <w:rPr>
                <w:rFonts w:ascii="Play" w:eastAsia="Play" w:hAnsi="Play" w:cs="Play"/>
                <w:sz w:val="14"/>
                <w:szCs w:val="14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40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611" w:rsidRDefault="00131D97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  <w:r>
              <w:rPr>
                <w:rFonts w:ascii="Play" w:eastAsia="Play" w:hAnsi="Play" w:cs="Play"/>
                <w:b/>
                <w:bCs/>
                <w:sz w:val="14"/>
                <w:szCs w:val="14"/>
              </w:rPr>
              <w:t xml:space="preserve">TOTAL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D73611" w:rsidRDefault="00D73611">
            <w:pPr>
              <w:jc w:val="center"/>
              <w:rPr>
                <w:rFonts w:ascii="Play" w:eastAsia="Play" w:hAnsi="Play" w:cs="Play"/>
                <w:b/>
                <w:bCs/>
                <w:sz w:val="14"/>
                <w:szCs w:val="14"/>
              </w:rPr>
            </w:pP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6.2.- Costos Indirectos o gastos generales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Detallar los costos indirectos o gastos generales que aplican en la presente consultoría que pueden ser entre otros: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Ejemplo: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131D97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a. Sueldos, salarios y beneficios o cargas sociales del personal directivo y administrativo que desarrolle su actividad de manera permanente en la consultora;</w:t>
      </w:r>
    </w:p>
    <w:p w:rsidR="00D73611" w:rsidRDefault="00131D97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b. Arrendamientos y alquileres o depreciación y mantenimiento y operación de instalaciones y equipos, utilizados en forma permanente para el desarrollo de sus actividades;</w:t>
      </w:r>
    </w:p>
    <w:p w:rsidR="00D73611" w:rsidRDefault="00D73611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D73611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(Se debe indicar si se escoge el valor promedio/valor más bajo/valor más alto, con su respectiva justificación, de cada componente cotizado por los consultores)</w:t>
      </w:r>
    </w:p>
    <w:p w:rsidR="00D73611" w:rsidRDefault="00D73611">
      <w:pPr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D73611">
      <w:pPr>
        <w:ind w:right="-336"/>
        <w:jc w:val="both"/>
        <w:rPr>
          <w:rFonts w:ascii="Calibri" w:eastAsia="Calibri" w:hAnsi="Calibri" w:cs="Calibri"/>
        </w:rPr>
      </w:pPr>
    </w:p>
    <w:p w:rsidR="00D73611" w:rsidRDefault="00131D97">
      <w:pPr>
        <w:ind w:right="-33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6.3.- Honorarios o utilidad empresarial:</w:t>
      </w:r>
    </w:p>
    <w:p w:rsidR="00D73611" w:rsidRDefault="00D73611">
      <w:pPr>
        <w:ind w:right="-336"/>
        <w:jc w:val="both"/>
        <w:rPr>
          <w:rFonts w:ascii="Calibri" w:eastAsia="Calibri" w:hAnsi="Calibri" w:cs="Calibri"/>
        </w:rPr>
      </w:pPr>
    </w:p>
    <w:p w:rsidR="00D73611" w:rsidRDefault="00131D97">
      <w:pPr>
        <w:ind w:right="-33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Ejemplo:</w:t>
      </w: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Son aquellos que se reconoce a las personas jurídicas consultoras, exclusivamente, por el esfuerzo empresarial, así como por el riesgo y responsabilidad que asumen en la prestación del servicio de consultoría que se contrata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(Se debe indicar si se escoge el valor promedio/valor más bajo/valor más alto, con su respectiva justificación, de cada componente cotizado por los consultores)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6.4.- Definición del presupuesto referencial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  <w:r>
        <w:rPr>
          <w:rFonts w:ascii="Arial" w:eastAsia="Arial" w:hAnsi="Arial" w:cs="Arial"/>
          <w:color w:val="000000"/>
          <w:sz w:val="22"/>
          <w:szCs w:val="22"/>
        </w:rPr>
        <w:t>Una vez analizados y desglosados los diferentes componentes que conforman los costos del proceso de consultoría, se consolida la información del presupuesto referencial en el siguiente cuadro: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Ejemplo: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tbl>
      <w:tblPr>
        <w:tblStyle w:val="af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7"/>
        <w:gridCol w:w="2830"/>
      </w:tblGrid>
      <w:tr w:rsidR="00D73611">
        <w:trPr>
          <w:trHeight w:val="293"/>
        </w:trPr>
        <w:tc>
          <w:tcPr>
            <w:tcW w:w="6237" w:type="dxa"/>
            <w:vMerge w:val="restart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VALOR TOTAL DOLARES</w:t>
            </w:r>
          </w:p>
        </w:tc>
      </w:tr>
      <w:tr w:rsidR="00D73611">
        <w:trPr>
          <w:trHeight w:val="293"/>
        </w:trPr>
        <w:tc>
          <w:tcPr>
            <w:tcW w:w="6237" w:type="dxa"/>
            <w:vMerge/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D73611" w:rsidRDefault="00D7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3611">
        <w:trPr>
          <w:trHeight w:val="127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1. COSTOS DIRECTOS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REMUNERACIONES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BENEFICIOS Y CARGAS SOCIALES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VIAJES Y VIATICOS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SUBCONTRATOS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ARRENDAMIENTOS Y ALQUILERES DE VEHICULOS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ARRENDAMIENTOS Y ALQUILERES DE EQUIPOS E INSTALACIONES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64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SUMINISTROS Y MATERIALES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OTROS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1" w:name="_heading=h.9wrsw39o17m" w:colFirst="0" w:colLast="0"/>
            <w:bookmarkEnd w:id="1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TOTAL COSTOS DIRECTOS 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3611">
        <w:trPr>
          <w:trHeight w:val="57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2. COSTOS INDIRECTOS  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Sueldos, salarios y beneficios o cargas sociales del personal directivo y administrativo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que desarrolle su actividad de manera permanente en la consultora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Arrendamientos y alquileres o depreciación y mantenimiento y operación de instalaciones y equipos, utilizados en forma permanente para el desarrollo de sus actividades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TOTAL COSTOS INDIRECTOS 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3. UTILIDAD (aplica a solo para Firmas Consultoras)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UTILIDAD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TOTAL UTILIDAD 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131D9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3611">
        <w:trPr>
          <w:trHeight w:val="64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D73611">
        <w:trPr>
          <w:trHeight w:val="57"/>
        </w:trPr>
        <w:tc>
          <w:tcPr>
            <w:tcW w:w="6237" w:type="dxa"/>
            <w:shd w:val="clear" w:color="auto" w:fill="auto"/>
            <w:vAlign w:val="center"/>
          </w:tcPr>
          <w:p w:rsidR="00D73611" w:rsidRDefault="00131D9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D73611" w:rsidRDefault="00D73611">
            <w:pPr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 xml:space="preserve">7.- </w:t>
      </w:r>
      <w:r>
        <w:rPr>
          <w:rFonts w:ascii="Play" w:eastAsia="Play" w:hAnsi="Play" w:cs="Play"/>
          <w:b/>
          <w:bCs/>
          <w:sz w:val="20"/>
          <w:szCs w:val="20"/>
        </w:rPr>
        <w:t>ANÁLISIS DE MEJOR VALOR POR DINERO</w:t>
      </w:r>
    </w:p>
    <w:p w:rsidR="00D73611" w:rsidRPr="00BF29AC" w:rsidRDefault="00D73611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>El concepto de mejor valor por dinero implica la evaluación integral de criterios de eficiencia, eficacia, economía y beneficio institucional, orientados a garantizar la optimización de los recursos públicos y el cumplimiento del fin público de la contratación.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En el presente caso, la contratación del </w:t>
      </w:r>
      <w:r w:rsidRPr="009764FF">
        <w:rPr>
          <w:rFonts w:ascii="Calibri" w:eastAsia="Calibri" w:hAnsi="Calibri" w:cs="Calibri"/>
          <w:bCs/>
          <w:color w:val="000000"/>
          <w:sz w:val="22"/>
          <w:szCs w:val="22"/>
          <w:highlight w:val="green"/>
        </w:rPr>
        <w:t>[OBJETO DE CONTRATACIÓN]</w:t>
      </w: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se enmarca en el régimen especial de contratación directa para la investigación científica responsable, previsto en el artículo 159 del RGLOSNCP y regulado internamente mediante el Reglamento REG-GES-VIDI-037, por lo que la determinación del mejor valor por dinero no se sustenta en un proceso competitivo de ofertas, sino en la evaluación de la razonabilidad técnica, económica y funcional de la contratación.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>El mejor valor por dinero se justifica en atención a los siguientes elementos: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Tahoma" w:eastAsia="Calibri" w:hAnsi="Tahoma" w:cs="Tahoma"/>
          <w:b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/>
          <w:bCs/>
          <w:color w:val="000000"/>
          <w:sz w:val="22"/>
          <w:szCs w:val="22"/>
        </w:rPr>
        <w:t>a) Idoneidad técnica y funcional: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>La consultoría</w:t>
      </w: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objeto de contratación responde de manera directa y específica a los requerimientos técnicos del proyecto de investigación científica responsable, permitiendo la ejecución efectiva de actividades investigativas.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/>
          <w:bCs/>
          <w:color w:val="000000"/>
          <w:sz w:val="22"/>
          <w:szCs w:val="22"/>
        </w:rPr>
        <w:t>b) Razonabilidad del precio: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El presupuesto referencial ha sido determinado mediante el instrumento de análisis correspondiente (referencias de mercado / cotizaciones especializadas), lo cual permite verificar que los valores propuestos se encuentran alineados con precios de mercado para </w:t>
      </w:r>
      <w:r>
        <w:rPr>
          <w:rFonts w:ascii="Calibri" w:eastAsia="Calibri" w:hAnsi="Calibri" w:cs="Calibri"/>
          <w:bCs/>
          <w:color w:val="000000"/>
          <w:sz w:val="22"/>
          <w:szCs w:val="22"/>
        </w:rPr>
        <w:t>consultorías</w:t>
      </w: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de similares características técnicas y nivel de especialización, garantizando una relación costo-beneficio adecuada para la institución.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/>
          <w:bCs/>
          <w:color w:val="000000"/>
          <w:sz w:val="22"/>
          <w:szCs w:val="22"/>
        </w:rPr>
        <w:t>c) Economía y eficiencia en la gestión pública: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La aplicación del régimen especial de contratación directa permite reducir tiempos administrativos, evitar sobrecostos derivados de procedimientos competitivos no idóneos para este tipo de contratación y asegurar la disponibilidad oportuna de los </w:t>
      </w:r>
      <w:r w:rsidR="00195A0E">
        <w:rPr>
          <w:rFonts w:ascii="Calibri" w:eastAsia="Calibri" w:hAnsi="Calibri" w:cs="Calibri"/>
          <w:bCs/>
          <w:color w:val="000000"/>
          <w:sz w:val="22"/>
          <w:szCs w:val="22"/>
        </w:rPr>
        <w:t>estudios</w:t>
      </w: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requeridos para la continuidad del proyecto de investigación.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9764FF" w:rsidRPr="009764FF" w:rsidRDefault="009764FF" w:rsidP="009764FF">
      <w:pPr>
        <w:ind w:right="-336"/>
        <w:jc w:val="both"/>
        <w:rPr>
          <w:rFonts w:ascii="Tahoma" w:eastAsia="Calibri" w:hAnsi="Tahoma" w:cs="Tahoma"/>
          <w:b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/>
          <w:bCs/>
          <w:color w:val="000000"/>
          <w:sz w:val="22"/>
          <w:szCs w:val="22"/>
        </w:rPr>
        <w:t>d) Contribución al fin público y a la política institucional de investigación:</w:t>
      </w:r>
    </w:p>
    <w:p w:rsidR="009764FF" w:rsidRP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>La contratación contribuye directamente al fortalecimiento de la investigación científica responsable y al cumplimiento de los objetivos institucionales definidos por la ESPOL, generando beneficios académicos, científicos y tecnológicos que justifican plenamente la inversión de recursos públicos.</w:t>
      </w:r>
    </w:p>
    <w:p w:rsidR="009764FF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:rsidR="00D73611" w:rsidRDefault="009764FF" w:rsidP="009764FF">
      <w:pPr>
        <w:ind w:right="-33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9764FF">
        <w:rPr>
          <w:rFonts w:ascii="Calibri" w:eastAsia="Calibri" w:hAnsi="Calibri" w:cs="Calibri"/>
          <w:bCs/>
          <w:color w:val="000000"/>
          <w:sz w:val="22"/>
          <w:szCs w:val="22"/>
        </w:rPr>
        <w:t>En consecuencia, se concluye que la contratación propuesta cumple con el principio de mejor valor por dinero, al garantizar una solución técnicamente adecuada, económicamente razonable y funcionalmente necesaria para el desarrollo de la investigación científica responsable, en concordancia con la normativa vigente.</w:t>
      </w:r>
    </w:p>
    <w:p w:rsidR="009764FF" w:rsidRDefault="009764FF" w:rsidP="009764FF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 xml:space="preserve">8.- Conclusión 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Por lo antes expuesto, dando cumplimiento a lo establecido en los artículos 73 y 164 del Reglamento General de la Ley Orgánica del Sistema Nacional de Contratación Pública, se considerará como presupuesto referencial el valor de USD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highlight w:val="green"/>
        </w:rPr>
        <w:t>XXXXXXX.XX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highlight w:val="lightGray"/>
        </w:rPr>
        <w:t>(</w:t>
      </w:r>
      <w:r>
        <w:rPr>
          <w:rFonts w:ascii="Arial" w:eastAsia="Arial" w:hAnsi="Arial" w:cs="Arial"/>
          <w:color w:val="000000"/>
          <w:sz w:val="22"/>
          <w:szCs w:val="22"/>
          <w:highlight w:val="green"/>
        </w:rPr>
        <w:t>indicar cantidad en letras</w:t>
      </w:r>
      <w: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Dólares de los Estados Unidos de América) más IVA, aplicando el mecanismo de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lastRenderedPageBreak/>
        <w:t>(</w:t>
      </w:r>
      <w:r w:rsidR="0079105E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REGIMEN ESPECIAL - 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>CONTRATACI</w:t>
      </w:r>
      <w:r w:rsidR="0079105E" w:rsidRPr="008B449D">
        <w:rPr>
          <w:rStyle w:val="normaltextrun"/>
          <w:rFonts w:ascii="Arial" w:hAnsi="Arial" w:cs="Arial" w:hint="eastAsia"/>
          <w:b/>
          <w:color w:val="000000"/>
          <w:sz w:val="22"/>
          <w:szCs w:val="22"/>
          <w:shd w:val="clear" w:color="auto" w:fill="FFFFFF"/>
        </w:rPr>
        <w:t>Ó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N DIRECTA PARA </w:t>
      </w:r>
      <w:r w:rsidR="0079105E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LA 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>CONTRATACI</w:t>
      </w:r>
      <w:r w:rsidR="0079105E" w:rsidRPr="008B449D">
        <w:rPr>
          <w:rStyle w:val="normaltextrun"/>
          <w:rFonts w:ascii="Arial" w:hAnsi="Arial" w:cs="Arial" w:hint="eastAsia"/>
          <w:b/>
          <w:color w:val="000000"/>
          <w:sz w:val="22"/>
          <w:szCs w:val="22"/>
          <w:shd w:val="clear" w:color="auto" w:fill="FFFFFF"/>
        </w:rPr>
        <w:t>Ó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>N DE</w:t>
      </w:r>
      <w:r w:rsidR="0079105E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CONSULTORÍAS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PARA LA INVESTIGACI</w:t>
      </w:r>
      <w:r w:rsidR="0079105E" w:rsidRPr="008B449D">
        <w:rPr>
          <w:rStyle w:val="normaltextrun"/>
          <w:rFonts w:ascii="Arial" w:hAnsi="Arial" w:cs="Arial" w:hint="eastAsia"/>
          <w:b/>
          <w:color w:val="000000"/>
          <w:sz w:val="22"/>
          <w:szCs w:val="22"/>
          <w:shd w:val="clear" w:color="auto" w:fill="FFFFFF"/>
        </w:rPr>
        <w:t>Ó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>N CIENT</w:t>
      </w:r>
      <w:r w:rsidR="0079105E" w:rsidRPr="008B449D">
        <w:rPr>
          <w:rStyle w:val="normaltextrun"/>
          <w:rFonts w:ascii="Arial" w:hAnsi="Arial" w:cs="Arial" w:hint="eastAsia"/>
          <w:b/>
          <w:color w:val="000000"/>
          <w:sz w:val="22"/>
          <w:szCs w:val="22"/>
          <w:shd w:val="clear" w:color="auto" w:fill="FFFFFF"/>
        </w:rPr>
        <w:t>Í</w:t>
      </w:r>
      <w:r w:rsidR="0079105E" w:rsidRPr="008B449D"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  <w:t>FICA RESPONSABLE</w:t>
      </w: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>)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131D97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Para constancia de lo actuado, firman el presente documento.</w:t>
      </w: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tbl>
      <w:tblPr>
        <w:tblStyle w:val="af0"/>
        <w:tblW w:w="83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3"/>
        <w:gridCol w:w="2746"/>
        <w:gridCol w:w="2722"/>
      </w:tblGrid>
      <w:tr w:rsidR="00D73611">
        <w:tc>
          <w:tcPr>
            <w:tcW w:w="2883" w:type="dxa"/>
          </w:tcPr>
          <w:p w:rsidR="00D73611" w:rsidRDefault="00131D97">
            <w:pPr>
              <w:ind w:right="-336"/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Elaborado por:</w:t>
            </w:r>
          </w:p>
          <w:p w:rsidR="00D73611" w:rsidRDefault="00D73611">
            <w:pPr>
              <w:ind w:right="78"/>
              <w:jc w:val="both"/>
              <w:rPr>
                <w:rFonts w:ascii="Arial" w:eastAsia="Arial" w:hAnsi="Arial" w:cs="Arial"/>
                <w:color w:val="000000"/>
                <w:highlight w:val="green"/>
              </w:rPr>
            </w:pPr>
          </w:p>
          <w:p w:rsidR="00D73611" w:rsidRDefault="00131D97">
            <w:pPr>
              <w:ind w:right="78"/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highlight w:val="yellow"/>
              </w:rPr>
              <w:t>El funcionario deberá estar CERTIFICADO ANTE EL SERCOP</w:t>
            </w:r>
          </w:p>
        </w:tc>
        <w:tc>
          <w:tcPr>
            <w:tcW w:w="2746" w:type="dxa"/>
          </w:tcPr>
          <w:p w:rsidR="00D73611" w:rsidRDefault="00131D97">
            <w:pPr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Revisado por:</w:t>
            </w:r>
          </w:p>
          <w:p w:rsidR="00D73611" w:rsidRDefault="00D73611">
            <w:pPr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</w:p>
          <w:p w:rsidR="00D73611" w:rsidRDefault="00131D97">
            <w:pPr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highlight w:val="yellow"/>
              </w:rPr>
              <w:t>El funcionario deberá estar CERTIFICADO ANTE EL SERCOP</w:t>
            </w:r>
          </w:p>
        </w:tc>
        <w:tc>
          <w:tcPr>
            <w:tcW w:w="2722" w:type="dxa"/>
          </w:tcPr>
          <w:p w:rsidR="00D73611" w:rsidRDefault="00131D97">
            <w:pPr>
              <w:ind w:right="22"/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Aprobado por:</w:t>
            </w:r>
          </w:p>
          <w:p w:rsidR="00D73611" w:rsidRDefault="00D73611">
            <w:pPr>
              <w:ind w:right="22"/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</w:p>
          <w:p w:rsidR="00D73611" w:rsidRDefault="00131D97">
            <w:pPr>
              <w:ind w:right="22"/>
              <w:jc w:val="both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highlight w:val="yellow"/>
              </w:rPr>
              <w:t>El funcionario deberá estar CERTIFICADO ANTE EL SERCOP</w:t>
            </w:r>
          </w:p>
        </w:tc>
      </w:tr>
    </w:tbl>
    <w:p w:rsidR="00D73611" w:rsidRDefault="00D73611">
      <w:pPr>
        <w:ind w:right="-336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79105E" w:rsidRDefault="0079105E" w:rsidP="0079105E">
      <w:pPr>
        <w:spacing w:line="276" w:lineRule="auto"/>
      </w:pPr>
      <w:r w:rsidRPr="00614658">
        <w:rPr>
          <w:highlight w:val="yellow"/>
        </w:rPr>
        <w:t>Nota: Las firmas deberán incluir, al menos, la del investigador responsable del proyecto</w:t>
      </w:r>
      <w:r>
        <w:t>.</w:t>
      </w: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p w:rsidR="00D73611" w:rsidRDefault="00D73611">
      <w:pPr>
        <w:ind w:right="-336"/>
        <w:jc w:val="both"/>
        <w:rPr>
          <w:rFonts w:ascii="Arial" w:eastAsia="Arial" w:hAnsi="Arial" w:cs="Arial"/>
          <w:sz w:val="22"/>
          <w:szCs w:val="22"/>
        </w:rPr>
      </w:pPr>
    </w:p>
    <w:sectPr w:rsidR="00D73611">
      <w:headerReference w:type="default" r:id="rId9"/>
      <w:footerReference w:type="default" r:id="rId10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E97" w:rsidRDefault="00E20E97">
      <w:r>
        <w:separator/>
      </w:r>
    </w:p>
  </w:endnote>
  <w:endnote w:type="continuationSeparator" w:id="0">
    <w:p w:rsidR="00E20E97" w:rsidRDefault="00E2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altName w:val="Times New Roman"/>
    <w:charset w:val="00"/>
    <w:family w:val="auto"/>
    <w:pitch w:val="default"/>
    <w:embedRegular r:id="rId1" w:fontKey="{ED7BF27C-5D25-4763-BD3D-89371C8BC71A}"/>
    <w:embedBold r:id="rId2" w:fontKey="{C39CB356-2639-4B3E-A95E-F813544E9598}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DFEB489-050A-4D5D-9939-1C8F6505AB5A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E5E4F01-E5C6-4246-9094-687F8BFBA117}"/>
    <w:embedBold r:id="rId5" w:fontKey="{D7588863-AE8C-49CC-BAB4-CD56153EAE8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6" w:fontKey="{021147FC-67F6-48F7-B2DB-3A55A4C5DD1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611" w:rsidRDefault="00131D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-1064695</wp:posOffset>
          </wp:positionH>
          <wp:positionV relativeFrom="paragraph">
            <wp:posOffset>-725803</wp:posOffset>
          </wp:positionV>
          <wp:extent cx="7563514" cy="1348722"/>
          <wp:effectExtent l="0" t="0" r="0" b="0"/>
          <wp:wrapNone/>
          <wp:docPr id="192683111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514" cy="13487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E97" w:rsidRDefault="00E20E97">
      <w:r>
        <w:separator/>
      </w:r>
    </w:p>
  </w:footnote>
  <w:footnote w:type="continuationSeparator" w:id="0">
    <w:p w:rsidR="00E20E97" w:rsidRDefault="00E20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611" w:rsidRDefault="00131D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-1025648</wp:posOffset>
          </wp:positionH>
          <wp:positionV relativeFrom="paragraph">
            <wp:posOffset>-426718</wp:posOffset>
          </wp:positionV>
          <wp:extent cx="7456348" cy="884814"/>
          <wp:effectExtent l="0" t="0" r="0" b="0"/>
          <wp:wrapNone/>
          <wp:docPr id="19268311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56348" cy="884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D1A69"/>
    <w:multiLevelType w:val="multilevel"/>
    <w:tmpl w:val="D57EDE0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645D0FC4"/>
    <w:multiLevelType w:val="multilevel"/>
    <w:tmpl w:val="07B4E3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11"/>
    <w:rsid w:val="00131D97"/>
    <w:rsid w:val="0017336A"/>
    <w:rsid w:val="00195A0E"/>
    <w:rsid w:val="00240515"/>
    <w:rsid w:val="00300198"/>
    <w:rsid w:val="00354D2E"/>
    <w:rsid w:val="00573A6C"/>
    <w:rsid w:val="0079105E"/>
    <w:rsid w:val="0089035C"/>
    <w:rsid w:val="009764FF"/>
    <w:rsid w:val="00B422BC"/>
    <w:rsid w:val="00BC03B5"/>
    <w:rsid w:val="00BF29AC"/>
    <w:rsid w:val="00D73611"/>
    <w:rsid w:val="00DB09EA"/>
    <w:rsid w:val="00E2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43974-1392-43AE-AAB0-AF8C536C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15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15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15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D31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rsid w:val="00D31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D31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D315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D315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D315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15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15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15C5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D31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D31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15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15C5"/>
    <w:rPr>
      <w:i/>
      <w:iCs/>
      <w:color w:val="404040" w:themeColor="text1" w:themeTint="BF"/>
    </w:rPr>
  </w:style>
  <w:style w:type="paragraph" w:styleId="Prrafodelista">
    <w:name w:val="List Paragraph"/>
    <w:aliases w:val="TIT 2 IND,Capítulo,Texto,List Paragraph1,Colorful List - Accent 11,Párrafo 3,Párrafo de Viñeta,tEXTO,Titulo 1,AATITULO,Subtitulo1,INDICE,Titulo 2,Titulo parrafo,lp1,Lista Documento,Lista vistosa - Énfasis 11,Bullet List,List Paragraph"/>
    <w:basedOn w:val="Normal"/>
    <w:link w:val="PrrafodelistaCar"/>
    <w:uiPriority w:val="34"/>
    <w:qFormat/>
    <w:rsid w:val="00D315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15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1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15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15C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315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15C5"/>
  </w:style>
  <w:style w:type="paragraph" w:styleId="Piedepgina">
    <w:name w:val="footer"/>
    <w:basedOn w:val="Normal"/>
    <w:link w:val="PiedepginaCar"/>
    <w:uiPriority w:val="99"/>
    <w:unhideWhenUsed/>
    <w:rsid w:val="00D315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5C5"/>
  </w:style>
  <w:style w:type="character" w:customStyle="1" w:styleId="PrrafodelistaCar">
    <w:name w:val="Párrafo de lista Car"/>
    <w:aliases w:val="TIT 2 IND Car,Capítulo Car,Texto Car,List Paragraph1 Car,Colorful List - Accent 11 Car,Párrafo 3 Car,Párrafo de Viñeta Car,tEXTO Car,Titulo 1 Car,AATITULO Car,Subtitulo1 Car,INDICE Car,Titulo 2 Car,Titulo parrafo Car,lp1 Car"/>
    <w:link w:val="Prrafodelista"/>
    <w:uiPriority w:val="34"/>
    <w:qFormat/>
    <w:locked/>
    <w:rsid w:val="00296162"/>
    <w:rPr>
      <w:rFonts w:eastAsiaTheme="minorEastAsia"/>
    </w:rPr>
  </w:style>
  <w:style w:type="character" w:customStyle="1" w:styleId="normaltextrun">
    <w:name w:val="normaltextrun"/>
    <w:basedOn w:val="Fuentedeprrafopredeter"/>
    <w:rsid w:val="00296162"/>
  </w:style>
  <w:style w:type="character" w:customStyle="1" w:styleId="eop">
    <w:name w:val="eop"/>
    <w:basedOn w:val="Fuentedeprrafopredeter"/>
    <w:rsid w:val="00296162"/>
  </w:style>
  <w:style w:type="table" w:styleId="Tablaconcuadrcula">
    <w:name w:val="Table Grid"/>
    <w:basedOn w:val="Tablanormal"/>
    <w:uiPriority w:val="39"/>
    <w:rsid w:val="002961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296162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6EDC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402097"/>
    <w:rPr>
      <w:b/>
      <w:bCs/>
    </w:rPr>
  </w:style>
  <w:style w:type="paragraph" w:styleId="NormalWeb">
    <w:name w:val="Normal (Web)"/>
    <w:basedOn w:val="Normal"/>
    <w:uiPriority w:val="99"/>
    <w:unhideWhenUsed/>
    <w:rsid w:val="0040209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7C29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29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295C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29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295C"/>
    <w:rPr>
      <w:rFonts w:eastAsiaTheme="minorEastAsi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295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95C"/>
    <w:rPr>
      <w:rFonts w:ascii="Segoe UI" w:eastAsiaTheme="minorEastAsia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532A3E"/>
    <w:rPr>
      <w:color w:val="96607D" w:themeColor="followedHyperlink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powerbi.com/view?r=eyJrIjoiNmU2MWI4MTktMjM1MC00ZGQ0LWExMTEtOTA4OTY3YzJiODU4IiwidCI6ImQ2NDk2NzM4LWY5MTItNGExZS04NDE1LTQwY2E2ZjRhOTRlZCJ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GC0w9rOegeyUKId6gZHYxyTfjQ==">CgMxLjAyDWguOXdyc3czOW8xN20yDmgueDN1ZXl3cHlmOXUyOAByITFURlNfeGcwVHI0bWJRa3BNb3NQbEVjbTZxWGp6MzFxZA==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1982</Words>
  <Characters>11560</Characters>
  <Application>Microsoft Office Word</Application>
  <DocSecurity>0</DocSecurity>
  <Lines>296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Vanessa Solorzano Jurado</dc:creator>
  <cp:lastModifiedBy>Francisco Fabián Ruiz Chang</cp:lastModifiedBy>
  <cp:revision>8</cp:revision>
  <cp:lastPrinted>2026-01-30T21:01:00Z</cp:lastPrinted>
  <dcterms:created xsi:type="dcterms:W3CDTF">2025-12-09T14:04:00Z</dcterms:created>
  <dcterms:modified xsi:type="dcterms:W3CDTF">2026-08-06T16:30:00Z</dcterms:modified>
</cp:coreProperties>
</file>