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INSTRUMENTO DE DETERMINACIÓN DEL PRESUPUESTO REFERENCIAL</w:t>
      </w:r>
    </w:p>
    <w:p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ANÁLISIS DE PRECIOS UNITARIOS - APU</w:t>
      </w:r>
    </w:p>
    <w:p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ÍNFIMA CUANTÍA</w:t>
      </w:r>
    </w:p>
    <w:p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OBRAS</w:t>
      </w:r>
    </w:p>
    <w:p w:rsidR="00883971" w:rsidRDefault="00883971">
      <w:pPr>
        <w:ind w:right="-336"/>
        <w:jc w:val="center"/>
        <w:rPr>
          <w:rFonts w:ascii="Play" w:eastAsia="Play" w:hAnsi="Play" w:cs="Play"/>
          <w:color w:val="000000"/>
          <w:sz w:val="20"/>
          <w:szCs w:val="20"/>
        </w:rPr>
      </w:pPr>
    </w:p>
    <w:tbl>
      <w:tblPr>
        <w:tblStyle w:val="a"/>
        <w:tblW w:w="9776" w:type="dxa"/>
        <w:tblInd w:w="-431" w:type="dxa"/>
        <w:tblLayout w:type="fixed"/>
        <w:tblLook w:val="0400" w:firstRow="0" w:lastRow="0" w:firstColumn="0" w:lastColumn="0" w:noHBand="0" w:noVBand="1"/>
      </w:tblPr>
      <w:tblGrid>
        <w:gridCol w:w="3780"/>
        <w:gridCol w:w="5996"/>
      </w:tblGrid>
      <w:tr w:rsidR="00883971">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Entidad Contratante:</w:t>
            </w:r>
          </w:p>
        </w:tc>
        <w:tc>
          <w:tcPr>
            <w:tcW w:w="5996" w:type="dxa"/>
            <w:tcBorders>
              <w:top w:val="single" w:sz="4" w:space="0" w:color="000000"/>
              <w:left w:val="single" w:sz="4" w:space="0" w:color="000000"/>
              <w:bottom w:val="single" w:sz="4" w:space="0" w:color="000000"/>
              <w:right w:val="single" w:sz="4" w:space="0" w:color="000000"/>
            </w:tcBorders>
          </w:tcPr>
          <w:p w:rsidR="00883971" w:rsidRDefault="000103CD">
            <w:pPr>
              <w:ind w:right="-336"/>
              <w:jc w:val="both"/>
              <w:rPr>
                <w:rFonts w:ascii="Play" w:eastAsia="Play" w:hAnsi="Play" w:cs="Play"/>
                <w:color w:val="000000"/>
                <w:sz w:val="20"/>
                <w:szCs w:val="20"/>
              </w:rPr>
            </w:pPr>
            <w:r>
              <w:rPr>
                <w:rFonts w:ascii="Play" w:eastAsia="Play" w:hAnsi="Play" w:cs="Play"/>
                <w:color w:val="000000"/>
                <w:sz w:val="20"/>
                <w:szCs w:val="20"/>
              </w:rPr>
              <w:t>Escuela Superior Politécnica del Litoral</w:t>
            </w:r>
          </w:p>
        </w:tc>
      </w:tr>
      <w:tr w:rsidR="00883971">
        <w:trPr>
          <w:trHeight w:val="66"/>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Área Requirente:</w:t>
            </w:r>
          </w:p>
        </w:tc>
        <w:tc>
          <w:tcPr>
            <w:tcW w:w="5996" w:type="dxa"/>
            <w:tcBorders>
              <w:top w:val="single" w:sz="4" w:space="0" w:color="000000"/>
              <w:left w:val="single" w:sz="4" w:space="0" w:color="000000"/>
              <w:bottom w:val="single" w:sz="4" w:space="0" w:color="000000"/>
              <w:right w:val="single" w:sz="4" w:space="0" w:color="000000"/>
            </w:tcBorders>
          </w:tcPr>
          <w:p w:rsidR="00883971" w:rsidRDefault="000103CD">
            <w:pPr>
              <w:jc w:val="both"/>
              <w:rPr>
                <w:rFonts w:ascii="Play" w:eastAsia="Play" w:hAnsi="Play" w:cs="Play"/>
                <w:sz w:val="20"/>
                <w:szCs w:val="20"/>
                <w:highlight w:val="green"/>
              </w:rPr>
            </w:pPr>
            <w:r>
              <w:rPr>
                <w:rFonts w:ascii="Play" w:eastAsia="Play" w:hAnsi="Play" w:cs="Play"/>
                <w:sz w:val="20"/>
                <w:szCs w:val="20"/>
                <w:highlight w:val="green"/>
              </w:rPr>
              <w:t>(a definir por el requirente)</w:t>
            </w:r>
          </w:p>
        </w:tc>
      </w:tr>
      <w:tr w:rsidR="00883971">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Objeto Contractual:</w:t>
            </w:r>
          </w:p>
        </w:tc>
        <w:tc>
          <w:tcPr>
            <w:tcW w:w="5996" w:type="dxa"/>
            <w:tcBorders>
              <w:top w:val="single" w:sz="4" w:space="0" w:color="000000"/>
              <w:left w:val="single" w:sz="4" w:space="0" w:color="000000"/>
              <w:bottom w:val="single" w:sz="4" w:space="0" w:color="000000"/>
              <w:right w:val="single" w:sz="4" w:space="0" w:color="000000"/>
            </w:tcBorders>
          </w:tcPr>
          <w:p w:rsidR="00883971" w:rsidRDefault="000103CD">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r w:rsidR="00883971">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Fecha de Elaboración del Estudio:</w:t>
            </w:r>
          </w:p>
        </w:tc>
        <w:tc>
          <w:tcPr>
            <w:tcW w:w="5996" w:type="dxa"/>
            <w:tcBorders>
              <w:top w:val="single" w:sz="4" w:space="0" w:color="000000"/>
              <w:left w:val="single" w:sz="4" w:space="0" w:color="000000"/>
              <w:bottom w:val="single" w:sz="4" w:space="0" w:color="000000"/>
              <w:right w:val="single" w:sz="4" w:space="0" w:color="000000"/>
            </w:tcBorders>
          </w:tcPr>
          <w:p w:rsidR="00883971" w:rsidRDefault="000103CD">
            <w:pPr>
              <w:ind w:right="65"/>
              <w:jc w:val="both"/>
              <w:rPr>
                <w:rFonts w:ascii="Play" w:eastAsia="Play" w:hAnsi="Play" w:cs="Play"/>
                <w:color w:val="000000"/>
                <w:sz w:val="20"/>
                <w:szCs w:val="20"/>
                <w:highlight w:val="green"/>
              </w:rPr>
            </w:pPr>
            <w:r>
              <w:rPr>
                <w:rFonts w:ascii="Play" w:eastAsia="Play" w:hAnsi="Play" w:cs="Play"/>
                <w:color w:val="000000"/>
                <w:sz w:val="20"/>
                <w:szCs w:val="20"/>
                <w:highlight w:val="green"/>
              </w:rPr>
              <w:t>Día – mes – año (de elaboración)</w:t>
            </w:r>
          </w:p>
        </w:tc>
      </w:tr>
      <w:tr w:rsidR="00883971">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Lugar (Provincia/Cantón):</w:t>
            </w:r>
          </w:p>
        </w:tc>
        <w:tc>
          <w:tcPr>
            <w:tcW w:w="5996" w:type="dxa"/>
            <w:tcBorders>
              <w:top w:val="single" w:sz="4" w:space="0" w:color="000000"/>
              <w:left w:val="single" w:sz="4" w:space="0" w:color="000000"/>
              <w:bottom w:val="single" w:sz="4" w:space="0" w:color="000000"/>
              <w:right w:val="single" w:sz="4" w:space="0" w:color="000000"/>
            </w:tcBorders>
          </w:tcPr>
          <w:p w:rsidR="00883971" w:rsidRDefault="000103CD">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bl>
    <w:p w:rsidR="00883971" w:rsidRDefault="00883971">
      <w:pPr>
        <w:jc w:val="both"/>
        <w:rPr>
          <w:rFonts w:ascii="Play" w:eastAsia="Play" w:hAnsi="Play" w:cs="Play"/>
          <w:sz w:val="20"/>
          <w:szCs w:val="20"/>
        </w:rPr>
      </w:pPr>
    </w:p>
    <w:p w:rsidR="00883971" w:rsidRDefault="000103CD">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ANTECEDENTES</w:t>
      </w:r>
    </w:p>
    <w:p w:rsidR="00883971" w:rsidRDefault="00883971">
      <w:pPr>
        <w:jc w:val="both"/>
        <w:rPr>
          <w:rFonts w:ascii="Play" w:eastAsia="Play" w:hAnsi="Play" w:cs="Play"/>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informe de necesidad del </w:t>
      </w:r>
      <w:r>
        <w:rPr>
          <w:rFonts w:ascii="Play" w:eastAsia="Play" w:hAnsi="Play" w:cs="Play"/>
          <w:color w:val="000000"/>
          <w:sz w:val="20"/>
          <w:szCs w:val="20"/>
          <w:highlight w:val="green"/>
        </w:rPr>
        <w:t>DIA-MES-AÑO</w:t>
      </w:r>
      <w:r>
        <w:rPr>
          <w:rFonts w:ascii="Play" w:eastAsia="Play" w:hAnsi="Play" w:cs="Play"/>
          <w:color w:val="000000"/>
          <w:sz w:val="20"/>
          <w:szCs w:val="20"/>
        </w:rPr>
        <w:t>, la “</w:t>
      </w:r>
      <w:r>
        <w:rPr>
          <w:rFonts w:ascii="Play" w:eastAsia="Play" w:hAnsi="Play" w:cs="Play"/>
          <w:color w:val="000000"/>
          <w:sz w:val="20"/>
          <w:szCs w:val="20"/>
          <w:highlight w:val="green"/>
        </w:rPr>
        <w:t>NOMBRE DEL ÁREA REQUIRENTE</w:t>
      </w:r>
      <w:r>
        <w:rPr>
          <w:rFonts w:ascii="Play" w:eastAsia="Play" w:hAnsi="Play" w:cs="Play"/>
          <w:color w:val="000000"/>
          <w:sz w:val="20"/>
          <w:szCs w:val="20"/>
        </w:rPr>
        <w:t>”, justificó las razones para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r>
        <w:rPr>
          <w:color w:val="000000"/>
        </w:rPr>
        <w:t xml:space="preserve"> </w:t>
      </w:r>
      <w:r>
        <w:rPr>
          <w:rFonts w:ascii="Play" w:eastAsia="Play" w:hAnsi="Play" w:cs="Play"/>
          <w:color w:val="000000"/>
          <w:sz w:val="20"/>
          <w:szCs w:val="20"/>
        </w:rPr>
        <w:t xml:space="preserve">y </w:t>
      </w:r>
      <w:r>
        <w:rPr>
          <w:rFonts w:ascii="Play" w:eastAsia="Play" w:hAnsi="Play" w:cs="Play"/>
          <w:color w:val="000000"/>
          <w:sz w:val="20"/>
          <w:szCs w:val="20"/>
          <w:highlight w:val="green"/>
        </w:rPr>
        <w:t>adjuntó el REPORTE DE BIENES PARA MANTENIMIENTO Y/O REPARACIÓN (cuando sea aplicable).</w:t>
      </w:r>
      <w:r>
        <w:rPr>
          <w:rFonts w:ascii="Play" w:eastAsia="Play" w:hAnsi="Play" w:cs="Play"/>
          <w:color w:val="000000"/>
          <w:sz w:val="20"/>
          <w:szCs w:val="20"/>
        </w:rPr>
        <w:t xml:space="preserve"> </w:t>
      </w:r>
    </w:p>
    <w:p w:rsidR="00883971" w:rsidRDefault="00883971">
      <w:pPr>
        <w:pBdr>
          <w:top w:val="nil"/>
          <w:left w:val="nil"/>
          <w:bottom w:val="nil"/>
          <w:right w:val="nil"/>
          <w:between w:val="nil"/>
        </w:pBdr>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solicitud de compra XXXX-2025-XXX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el </w:t>
      </w:r>
      <w:r>
        <w:rPr>
          <w:rFonts w:ascii="Play" w:eastAsia="Play" w:hAnsi="Play" w:cs="Play"/>
          <w:color w:val="000000"/>
          <w:sz w:val="20"/>
          <w:szCs w:val="20"/>
          <w:highlight w:val="green"/>
        </w:rPr>
        <w:t>TITULO-NOMBRE-CARGO-FUNCIONA</w:t>
      </w:r>
      <w:r>
        <w:rPr>
          <w:rFonts w:ascii="Play" w:eastAsia="Play" w:hAnsi="Play" w:cs="Play"/>
          <w:color w:val="000000"/>
          <w:sz w:val="20"/>
          <w:szCs w:val="20"/>
          <w:highlight w:val="green"/>
        </w:rPr>
        <w:t>RIO-UNIDAD REQUIRENTE</w:t>
      </w:r>
      <w:r>
        <w:rPr>
          <w:rFonts w:ascii="Play" w:eastAsia="Play" w:hAnsi="Play" w:cs="Play"/>
          <w:color w:val="000000"/>
          <w:sz w:val="20"/>
          <w:szCs w:val="20"/>
        </w:rPr>
        <w:t>, solicitó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p>
    <w:p w:rsidR="00883971" w:rsidRDefault="00883971">
      <w:pPr>
        <w:pBdr>
          <w:top w:val="nil"/>
          <w:left w:val="nil"/>
          <w:bottom w:val="nil"/>
          <w:right w:val="nil"/>
          <w:between w:val="nil"/>
        </w:pBdr>
        <w:spacing w:line="259" w:lineRule="auto"/>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jc w:val="both"/>
        <w:rPr>
          <w:rFonts w:ascii="Play" w:eastAsia="Play" w:hAnsi="Play" w:cs="Play"/>
          <w:color w:val="000000"/>
          <w:sz w:val="20"/>
          <w:szCs w:val="20"/>
        </w:rPr>
      </w:pPr>
      <w:r>
        <w:rPr>
          <w:rFonts w:ascii="Play" w:eastAsia="Play" w:hAnsi="Play" w:cs="Play"/>
          <w:color w:val="000000"/>
          <w:sz w:val="20"/>
          <w:szCs w:val="20"/>
        </w:rPr>
        <w:t>Mediante oficio xxxxx de fecha xxxxx de 202X, el contratista de la consultoría/responsable técnico entregó los estudios definitivos y actualizados al año 202X para la correcta contratación de la obra. (EN EL CASO DE QUE APLIQUE)</w:t>
      </w:r>
    </w:p>
    <w:p w:rsidR="00883971" w:rsidRDefault="00883971">
      <w:pPr>
        <w:pBdr>
          <w:top w:val="nil"/>
          <w:left w:val="nil"/>
          <w:bottom w:val="nil"/>
          <w:right w:val="nil"/>
          <w:between w:val="nil"/>
        </w:pBdr>
        <w:spacing w:line="259" w:lineRule="auto"/>
        <w:ind w:left="360"/>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jc w:val="both"/>
        <w:rPr>
          <w:rFonts w:ascii="Play" w:eastAsia="Play" w:hAnsi="Play" w:cs="Play"/>
          <w:color w:val="000000"/>
          <w:sz w:val="20"/>
          <w:szCs w:val="20"/>
        </w:rPr>
      </w:pPr>
      <w:r>
        <w:rPr>
          <w:rFonts w:ascii="Play" w:eastAsia="Play" w:hAnsi="Play" w:cs="Play"/>
          <w:color w:val="000000"/>
          <w:sz w:val="20"/>
          <w:szCs w:val="20"/>
        </w:rPr>
        <w:t>Con fecha xxxxx del 202X e</w:t>
      </w:r>
      <w:r>
        <w:rPr>
          <w:rFonts w:ascii="Play" w:eastAsia="Play" w:hAnsi="Play" w:cs="Play"/>
          <w:color w:val="000000"/>
          <w:sz w:val="20"/>
          <w:szCs w:val="20"/>
        </w:rPr>
        <w:t>n Memorando Nro. xxxxxxxx se realiza la entrega del expediente técnico al Gerente/Director de la Unidad Requirente y; con Memorando Nro. XXXX de fecha xxxxx del 202X, se aprueban los documentos y autoriza continuar con el ingreso de solicitud para la contr</w:t>
      </w:r>
      <w:r>
        <w:rPr>
          <w:rFonts w:ascii="Play" w:eastAsia="Play" w:hAnsi="Play" w:cs="Play"/>
          <w:color w:val="000000"/>
          <w:sz w:val="20"/>
          <w:szCs w:val="20"/>
        </w:rPr>
        <w:t>atación de la obra.</w:t>
      </w:r>
    </w:p>
    <w:p w:rsidR="00883971" w:rsidRDefault="00883971">
      <w:pPr>
        <w:pBdr>
          <w:top w:val="nil"/>
          <w:left w:val="nil"/>
          <w:bottom w:val="nil"/>
          <w:right w:val="nil"/>
          <w:between w:val="nil"/>
        </w:pBdr>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bookmarkStart w:id="0" w:name="_heading=h.syfrmrh6asdm" w:colFirst="0" w:colLast="0"/>
      <w:bookmarkEnd w:id="0"/>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en el Sistema de Adquisiciones de la ESPOL se creó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en la categoría “</w:t>
      </w:r>
      <w:r>
        <w:rPr>
          <w:rFonts w:ascii="Play" w:eastAsia="Play" w:hAnsi="Play" w:cs="Play"/>
          <w:color w:val="000000"/>
          <w:sz w:val="20"/>
          <w:szCs w:val="20"/>
          <w:highlight w:val="green"/>
        </w:rPr>
        <w:t>XXXXXXXXXXXX</w:t>
      </w:r>
      <w:r>
        <w:rPr>
          <w:rFonts w:ascii="Play" w:eastAsia="Play" w:hAnsi="Play" w:cs="Play"/>
          <w:color w:val="000000"/>
          <w:sz w:val="20"/>
          <w:szCs w:val="20"/>
        </w:rPr>
        <w:t xml:space="preserve">”, el mismo que fue revisado y aprobado por </w:t>
      </w:r>
      <w:r>
        <w:rPr>
          <w:rFonts w:ascii="Play" w:eastAsia="Play" w:hAnsi="Play" w:cs="Play"/>
          <w:color w:val="000000"/>
          <w:sz w:val="20"/>
          <w:szCs w:val="20"/>
          <w:highlight w:val="green"/>
        </w:rPr>
        <w:t>TITULO-NOMBRE-CARGO-FUNCIONARIO-DEPENDENCIA</w:t>
      </w:r>
      <w:r>
        <w:rPr>
          <w:rFonts w:ascii="Play" w:eastAsia="Play" w:hAnsi="Play" w:cs="Play"/>
          <w:color w:val="000000"/>
          <w:sz w:val="20"/>
          <w:szCs w:val="20"/>
        </w:rPr>
        <w:t xml:space="preserve"> (unidad consolidadora).</w:t>
      </w:r>
    </w:p>
    <w:p w:rsidR="00883971" w:rsidRDefault="00883971">
      <w:pPr>
        <w:pBdr>
          <w:top w:val="nil"/>
          <w:left w:val="nil"/>
          <w:bottom w:val="nil"/>
          <w:right w:val="nil"/>
          <w:between w:val="nil"/>
        </w:pBdr>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fue asignado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al Analista de compras Públicas para la debida atención.</w:t>
      </w:r>
    </w:p>
    <w:p w:rsidR="00883971" w:rsidRDefault="00883971">
      <w:pPr>
        <w:pBdr>
          <w:top w:val="nil"/>
          <w:left w:val="nil"/>
          <w:bottom w:val="nil"/>
          <w:right w:val="nil"/>
          <w:between w:val="nil"/>
        </w:pBdr>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realizó la verificación del PAC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y se confi</w:t>
      </w:r>
      <w:r>
        <w:rPr>
          <w:rFonts w:ascii="Play" w:eastAsia="Play" w:hAnsi="Play" w:cs="Play"/>
          <w:color w:val="000000"/>
          <w:sz w:val="20"/>
          <w:szCs w:val="20"/>
        </w:rPr>
        <w:t xml:space="preserve">rmó que </w:t>
      </w:r>
      <w:r>
        <w:rPr>
          <w:rFonts w:ascii="Play" w:eastAsia="Play" w:hAnsi="Play" w:cs="Play"/>
          <w:color w:val="000000"/>
          <w:sz w:val="20"/>
          <w:szCs w:val="20"/>
          <w:highlight w:val="green"/>
        </w:rPr>
        <w:t>SI/NO</w:t>
      </w:r>
      <w:r>
        <w:rPr>
          <w:rFonts w:ascii="Play" w:eastAsia="Play" w:hAnsi="Play" w:cs="Play"/>
          <w:color w:val="000000"/>
          <w:sz w:val="20"/>
          <w:szCs w:val="20"/>
        </w:rPr>
        <w:t xml:space="preserve"> se encuentra establecido en el PAC.</w:t>
      </w:r>
    </w:p>
    <w:p w:rsidR="00883971" w:rsidRDefault="00883971">
      <w:pPr>
        <w:pBdr>
          <w:top w:val="nil"/>
          <w:left w:val="nil"/>
          <w:bottom w:val="nil"/>
          <w:right w:val="nil"/>
          <w:between w:val="nil"/>
        </w:pBdr>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 xml:space="preserve">DIA-MES-AÑO </w:t>
      </w:r>
      <w:r>
        <w:rPr>
          <w:rFonts w:ascii="Play" w:eastAsia="Play" w:hAnsi="Play" w:cs="Play"/>
          <w:color w:val="000000"/>
          <w:sz w:val="20"/>
          <w:szCs w:val="20"/>
        </w:rPr>
        <w:t>se realizó la verificación en el catálogo electrónico del SERCOP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se confirmó que el </w:t>
      </w:r>
      <w:r>
        <w:rPr>
          <w:rFonts w:ascii="Play" w:eastAsia="Play" w:hAnsi="Play" w:cs="Play"/>
          <w:color w:val="000000"/>
          <w:sz w:val="20"/>
          <w:szCs w:val="20"/>
          <w:highlight w:val="green"/>
        </w:rPr>
        <w:t>bien/servicio/obra</w:t>
      </w:r>
      <w:r>
        <w:rPr>
          <w:rFonts w:ascii="Play" w:eastAsia="Play" w:hAnsi="Play" w:cs="Play"/>
          <w:color w:val="000000"/>
          <w:sz w:val="20"/>
          <w:szCs w:val="20"/>
        </w:rPr>
        <w:t xml:space="preserve"> </w:t>
      </w:r>
      <w:r>
        <w:rPr>
          <w:rFonts w:ascii="Play" w:eastAsia="Play" w:hAnsi="Play" w:cs="Play"/>
          <w:color w:val="000000"/>
          <w:sz w:val="20"/>
          <w:szCs w:val="20"/>
          <w:highlight w:val="green"/>
        </w:rPr>
        <w:t>SI/NO</w:t>
      </w:r>
      <w:r>
        <w:rPr>
          <w:rFonts w:ascii="Play" w:eastAsia="Play" w:hAnsi="Play" w:cs="Play"/>
          <w:color w:val="000000"/>
          <w:sz w:val="20"/>
          <w:szCs w:val="20"/>
        </w:rPr>
        <w:t xml:space="preserve"> se encuentra catalogado.</w:t>
      </w:r>
    </w:p>
    <w:p w:rsidR="00883971" w:rsidRDefault="00883971">
      <w:pPr>
        <w:pBdr>
          <w:top w:val="nil"/>
          <w:left w:val="nil"/>
          <w:bottom w:val="nil"/>
          <w:right w:val="nil"/>
          <w:between w:val="nil"/>
        </w:pBdr>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realizó la verificación en el portal del SERCOP respecto de los Acuerdos Comerciales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se confirmó que </w:t>
      </w:r>
      <w:r>
        <w:rPr>
          <w:rFonts w:ascii="Play" w:eastAsia="Play" w:hAnsi="Play" w:cs="Play"/>
          <w:color w:val="000000"/>
          <w:sz w:val="20"/>
          <w:szCs w:val="20"/>
          <w:highlight w:val="green"/>
        </w:rPr>
        <w:t>SI/NO</w:t>
      </w:r>
      <w:r>
        <w:rPr>
          <w:rFonts w:ascii="Play" w:eastAsia="Play" w:hAnsi="Play" w:cs="Play"/>
          <w:color w:val="000000"/>
          <w:sz w:val="20"/>
          <w:szCs w:val="20"/>
        </w:rPr>
        <w:t xml:space="preserve"> aplican.</w:t>
      </w:r>
    </w:p>
    <w:p w:rsidR="00883971" w:rsidRDefault="00883971">
      <w:pPr>
        <w:pBdr>
          <w:top w:val="nil"/>
          <w:left w:val="nil"/>
          <w:bottom w:val="nil"/>
          <w:right w:val="nil"/>
          <w:between w:val="nil"/>
        </w:pBdr>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se solicitó al área re</w:t>
      </w:r>
      <w:r>
        <w:rPr>
          <w:rFonts w:ascii="Play" w:eastAsia="Play" w:hAnsi="Play" w:cs="Play"/>
          <w:color w:val="000000"/>
          <w:sz w:val="20"/>
          <w:szCs w:val="20"/>
        </w:rPr>
        <w:t>quirente que informe el CPC de los bienes/servicios/rubros/.</w:t>
      </w:r>
    </w:p>
    <w:p w:rsidR="00883971" w:rsidRDefault="00883971">
      <w:pPr>
        <w:pBdr>
          <w:top w:val="nil"/>
          <w:left w:val="nil"/>
          <w:bottom w:val="nil"/>
          <w:right w:val="nil"/>
          <w:between w:val="nil"/>
        </w:pBdr>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al área requirente informó el código CPC de los ítems</w:t>
      </w:r>
    </w:p>
    <w:p w:rsidR="00883971" w:rsidRDefault="00883971">
      <w:pPr>
        <w:pBdr>
          <w:top w:val="nil"/>
          <w:left w:val="nil"/>
          <w:bottom w:val="nil"/>
          <w:right w:val="nil"/>
          <w:between w:val="nil"/>
        </w:pBdr>
        <w:spacing w:after="160" w:line="259" w:lineRule="auto"/>
        <w:jc w:val="both"/>
        <w:rPr>
          <w:rFonts w:ascii="Play" w:eastAsia="Play" w:hAnsi="Play" w:cs="Play"/>
          <w:color w:val="000000"/>
          <w:sz w:val="20"/>
          <w:szCs w:val="20"/>
        </w:rPr>
      </w:pPr>
    </w:p>
    <w:p w:rsidR="00883971" w:rsidRDefault="00883971">
      <w:pPr>
        <w:ind w:right="-336"/>
        <w:jc w:val="both"/>
        <w:rPr>
          <w:rFonts w:ascii="Arial" w:eastAsia="Arial" w:hAnsi="Arial" w:cs="Arial"/>
          <w:color w:val="000000"/>
          <w:sz w:val="22"/>
          <w:szCs w:val="22"/>
        </w:rPr>
      </w:pPr>
    </w:p>
    <w:p w:rsidR="00883971" w:rsidRDefault="00883971">
      <w:pPr>
        <w:spacing w:after="160" w:line="259" w:lineRule="auto"/>
        <w:jc w:val="both"/>
        <w:rPr>
          <w:rFonts w:ascii="Arial" w:eastAsia="Arial" w:hAnsi="Arial" w:cs="Arial"/>
          <w:color w:val="000000"/>
          <w:sz w:val="22"/>
          <w:szCs w:val="22"/>
        </w:rPr>
      </w:pPr>
    </w:p>
    <w:p w:rsidR="00883971" w:rsidRDefault="000103CD">
      <w:pPr>
        <w:numPr>
          <w:ilvl w:val="0"/>
          <w:numId w:val="2"/>
        </w:numPr>
        <w:pBdr>
          <w:top w:val="nil"/>
          <w:left w:val="nil"/>
          <w:bottom w:val="nil"/>
          <w:right w:val="nil"/>
          <w:between w:val="nil"/>
        </w:pBdr>
        <w:spacing w:line="259" w:lineRule="auto"/>
        <w:jc w:val="both"/>
        <w:rPr>
          <w:rFonts w:ascii="Play" w:eastAsia="Play" w:hAnsi="Play" w:cs="Play"/>
          <w:b/>
          <w:color w:val="000000"/>
          <w:sz w:val="20"/>
          <w:szCs w:val="20"/>
        </w:rPr>
      </w:pPr>
      <w:r>
        <w:rPr>
          <w:rFonts w:ascii="Play" w:eastAsia="Play" w:hAnsi="Play" w:cs="Play"/>
          <w:b/>
          <w:color w:val="000000"/>
          <w:sz w:val="20"/>
          <w:szCs w:val="20"/>
        </w:rPr>
        <w:t>RAZÓN DE LAS PROFORMAS RECIBIDAS</w:t>
      </w:r>
    </w:p>
    <w:p w:rsidR="00883971" w:rsidRDefault="00883971">
      <w:pPr>
        <w:pBdr>
          <w:top w:val="nil"/>
          <w:left w:val="nil"/>
          <w:bottom w:val="nil"/>
          <w:right w:val="nil"/>
          <w:between w:val="nil"/>
        </w:pBdr>
        <w:ind w:left="360"/>
        <w:jc w:val="both"/>
        <w:rPr>
          <w:rFonts w:ascii="Play" w:eastAsia="Play" w:hAnsi="Play" w:cs="Play"/>
          <w:color w:val="000000"/>
          <w:sz w:val="20"/>
          <w:szCs w:val="20"/>
        </w:rPr>
      </w:pPr>
    </w:p>
    <w:p w:rsidR="00883971" w:rsidRDefault="00883971">
      <w:pPr>
        <w:pBdr>
          <w:top w:val="nil"/>
          <w:left w:val="nil"/>
          <w:bottom w:val="nil"/>
          <w:right w:val="nil"/>
          <w:between w:val="nil"/>
        </w:pBdr>
        <w:ind w:left="360"/>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Cumpliendo con lo establecido en la normativa legal correspondiente y el oficio ESPOL-DADQ-OFC-0015-2022 - Política interna para la gestión de cotizaciones; con fecha </w:t>
      </w:r>
      <w:r>
        <w:rPr>
          <w:rFonts w:ascii="Play" w:eastAsia="Play" w:hAnsi="Play" w:cs="Play"/>
          <w:color w:val="000000"/>
          <w:sz w:val="20"/>
          <w:szCs w:val="20"/>
          <w:highlight w:val="green"/>
        </w:rPr>
        <w:t>DIA-MES-AÑO</w:t>
      </w:r>
      <w:r>
        <w:rPr>
          <w:rFonts w:ascii="Play" w:eastAsia="Play" w:hAnsi="Play" w:cs="Play"/>
          <w:color w:val="000000"/>
          <w:sz w:val="20"/>
          <w:szCs w:val="20"/>
        </w:rPr>
        <w:t>, la Analista de Compras Públicas registró la necesidad en el portal del SERCO</w:t>
      </w:r>
      <w:r>
        <w:rPr>
          <w:rFonts w:ascii="Play" w:eastAsia="Play" w:hAnsi="Play" w:cs="Play"/>
          <w:color w:val="000000"/>
          <w:sz w:val="20"/>
          <w:szCs w:val="20"/>
        </w:rPr>
        <w:t xml:space="preserve">P, con el </w:t>
      </w:r>
      <w:r>
        <w:rPr>
          <w:rFonts w:ascii="Play" w:eastAsia="Play" w:hAnsi="Play" w:cs="Play"/>
          <w:color w:val="000000"/>
          <w:sz w:val="20"/>
          <w:szCs w:val="20"/>
          <w:highlight w:val="green"/>
        </w:rPr>
        <w:t>código</w:t>
      </w:r>
      <w:r>
        <w:rPr>
          <w:rFonts w:ascii="Play" w:eastAsia="Play" w:hAnsi="Play" w:cs="Play"/>
          <w:color w:val="000000"/>
          <w:sz w:val="20"/>
          <w:szCs w:val="20"/>
        </w:rPr>
        <w:t xml:space="preserve"> </w:t>
      </w:r>
      <w:r>
        <w:rPr>
          <w:rFonts w:ascii="Play" w:eastAsia="Play" w:hAnsi="Play" w:cs="Play"/>
          <w:color w:val="000000"/>
          <w:sz w:val="20"/>
          <w:szCs w:val="20"/>
          <w:highlight w:val="green"/>
        </w:rPr>
        <w:t>NIC-XXXXXXX</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de </w:t>
      </w:r>
      <w:r>
        <w:rPr>
          <w:rFonts w:ascii="Play" w:eastAsia="Play" w:hAnsi="Play" w:cs="Play"/>
          <w:color w:val="000000"/>
          <w:sz w:val="20"/>
          <w:szCs w:val="20"/>
          <w:highlight w:val="yellow"/>
        </w:rPr>
        <w:t>02</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rsidR="00883971" w:rsidRDefault="00883971">
      <w:pPr>
        <w:pBdr>
          <w:top w:val="nil"/>
          <w:left w:val="nil"/>
          <w:bottom w:val="nil"/>
          <w:right w:val="nil"/>
          <w:between w:val="nil"/>
        </w:pBdr>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highlight w:val="yellow"/>
        </w:rPr>
      </w:pPr>
      <w:r>
        <w:rPr>
          <w:rFonts w:ascii="Play" w:eastAsia="Play" w:hAnsi="Play" w:cs="Play"/>
          <w:color w:val="000000"/>
          <w:sz w:val="20"/>
          <w:szCs w:val="20"/>
          <w:highlight w:val="yellow"/>
        </w:rPr>
        <w:t>Debido a que el informe de necesidad indica que esta contratación es de carácter URGENTE y habiendo cumplido con la establecido en la política interna para la gestión de cotizaciones se termina la etapa “gestión cotización” y se continúa con el trámite.</w:t>
      </w:r>
    </w:p>
    <w:p w:rsidR="00883971" w:rsidRDefault="00883971">
      <w:pPr>
        <w:pBdr>
          <w:top w:val="nil"/>
          <w:left w:val="nil"/>
          <w:bottom w:val="nil"/>
          <w:right w:val="nil"/>
          <w:between w:val="nil"/>
        </w:pBdr>
        <w:jc w:val="both"/>
        <w:rPr>
          <w:rFonts w:ascii="Play" w:eastAsia="Play" w:hAnsi="Play" w:cs="Play"/>
          <w:color w:val="000000"/>
          <w:sz w:val="20"/>
          <w:szCs w:val="20"/>
        </w:rPr>
      </w:pPr>
    </w:p>
    <w:p w:rsidR="00883971" w:rsidRDefault="000103CD">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P</w:t>
      </w:r>
      <w:r>
        <w:rPr>
          <w:rFonts w:ascii="Play" w:eastAsia="Play" w:hAnsi="Play" w:cs="Play"/>
          <w:color w:val="000000"/>
          <w:sz w:val="20"/>
          <w:szCs w:val="20"/>
        </w:rPr>
        <w:t xml:space="preserve">or no contar con al menos tres proformas válidas vencido el termino inicial y de acuerdo con el oficio Nro. ESPOL-DADQ-OFC-0015-2022,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por segunda ocasión la necesidad en el portal del SERCOP, </w:t>
      </w:r>
      <w:r>
        <w:rPr>
          <w:rFonts w:ascii="Play" w:eastAsia="Play" w:hAnsi="Play" w:cs="Play"/>
          <w:color w:val="000000"/>
          <w:sz w:val="20"/>
          <w:szCs w:val="20"/>
        </w:rPr>
        <w:t xml:space="preserve">con el </w:t>
      </w:r>
      <w:r>
        <w:rPr>
          <w:rFonts w:ascii="Play" w:eastAsia="Play" w:hAnsi="Play" w:cs="Play"/>
          <w:color w:val="000000"/>
          <w:sz w:val="20"/>
          <w:szCs w:val="20"/>
          <w:highlight w:val="green"/>
        </w:rPr>
        <w:t>código NIC-XXXXXX</w:t>
      </w:r>
      <w:r>
        <w:rPr>
          <w:rFonts w:ascii="Play" w:eastAsia="Play" w:hAnsi="Play" w:cs="Play"/>
          <w:color w:val="000000"/>
          <w:sz w:val="20"/>
          <w:szCs w:val="20"/>
        </w:rPr>
        <w:t>, cuyo objeto es el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w:t>
      </w:r>
      <w:r>
        <w:rPr>
          <w:rFonts w:ascii="Play" w:eastAsia="Play" w:hAnsi="Play" w:cs="Play"/>
          <w:color w:val="000000"/>
          <w:sz w:val="20"/>
          <w:szCs w:val="20"/>
          <w:highlight w:val="yellow"/>
        </w:rPr>
        <w:t>03</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rsidR="00883971" w:rsidRDefault="00883971">
      <w:pPr>
        <w:jc w:val="both"/>
        <w:rPr>
          <w:rFonts w:ascii="Play" w:eastAsia="Play" w:hAnsi="Play" w:cs="Play"/>
          <w:sz w:val="20"/>
          <w:szCs w:val="20"/>
        </w:rPr>
      </w:pPr>
    </w:p>
    <w:p w:rsidR="00883971" w:rsidRDefault="000103CD">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Habiendo cumplid</w:t>
      </w:r>
      <w:r>
        <w:rPr>
          <w:rFonts w:ascii="Play" w:eastAsia="Play" w:hAnsi="Play" w:cs="Play"/>
          <w:color w:val="000000"/>
          <w:sz w:val="20"/>
          <w:szCs w:val="20"/>
        </w:rPr>
        <w:t>o con la establecido en la normativa legal correspondiente y la política interna para la gestión de cotizaciones se termina la etapa “gestión cotización” y se continúa con el trámite.</w:t>
      </w:r>
    </w:p>
    <w:p w:rsidR="00883971" w:rsidRDefault="00883971">
      <w:pPr>
        <w:jc w:val="both"/>
        <w:rPr>
          <w:rFonts w:ascii="Play" w:eastAsia="Play" w:hAnsi="Play" w:cs="Play"/>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sdt>
        <w:sdtPr>
          <w:tag w:val="goog_rdk_0"/>
          <w:id w:val="-111285038"/>
        </w:sdtPr>
        <w:sdtEndPr/>
        <w:sdtContent>
          <w:r>
            <w:rPr>
              <w:rFonts w:ascii="Arial" w:eastAsia="Arial" w:hAnsi="Arial" w:cs="Arial"/>
              <w:b/>
              <w:color w:val="000000"/>
              <w:sz w:val="20"/>
              <w:szCs w:val="20"/>
            </w:rPr>
            <w:t>ANÁLISIS DE LA OBRA A SER CONTRATADA: ESPECIFICACIONES TÉCNICAS.</w:t>
          </w:r>
        </w:sdtContent>
      </w:sdt>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ind w:right="119"/>
        <w:jc w:val="both"/>
        <w:rPr>
          <w:rFonts w:ascii="Play" w:eastAsia="Play" w:hAnsi="Play" w:cs="Play"/>
          <w:color w:val="000000"/>
          <w:sz w:val="20"/>
          <w:szCs w:val="20"/>
        </w:rPr>
      </w:pPr>
      <w:r>
        <w:rPr>
          <w:rFonts w:ascii="Play" w:eastAsia="Play" w:hAnsi="Play" w:cs="Play"/>
          <w:color w:val="000000"/>
          <w:sz w:val="20"/>
          <w:szCs w:val="20"/>
        </w:rPr>
        <w:t>La Escuela Superior Politécnica del Litoral requiere la “</w:t>
      </w:r>
      <w:r>
        <w:rPr>
          <w:rFonts w:ascii="Play" w:eastAsia="Play" w:hAnsi="Play" w:cs="Play"/>
          <w:color w:val="000000"/>
          <w:sz w:val="20"/>
          <w:szCs w:val="20"/>
          <w:highlight w:val="green"/>
        </w:rPr>
        <w:t>OBJETO DEL CONTRATO</w:t>
      </w:r>
      <w:r>
        <w:rPr>
          <w:rFonts w:ascii="Play" w:eastAsia="Play" w:hAnsi="Play" w:cs="Play"/>
          <w:color w:val="1D1B11"/>
          <w:sz w:val="20"/>
          <w:szCs w:val="20"/>
        </w:rPr>
        <w:t>”</w:t>
      </w:r>
      <w:r>
        <w:rPr>
          <w:rFonts w:ascii="Play" w:eastAsia="Play" w:hAnsi="Play" w:cs="Play"/>
          <w:color w:val="000000"/>
          <w:sz w:val="20"/>
          <w:szCs w:val="20"/>
        </w:rPr>
        <w:t xml:space="preserve"> de acuerdo con las condiciones que se describen en el documento especificación técnica.</w:t>
      </w:r>
    </w:p>
    <w:p w:rsidR="00883971" w:rsidRDefault="00883971">
      <w:pPr>
        <w:ind w:right="119"/>
        <w:jc w:val="both"/>
        <w:rPr>
          <w:rFonts w:ascii="Play" w:eastAsia="Play" w:hAnsi="Play" w:cs="Play"/>
          <w:color w:val="000000"/>
          <w:sz w:val="20"/>
          <w:szCs w:val="20"/>
        </w:rPr>
      </w:pPr>
    </w:p>
    <w:p w:rsidR="00883971" w:rsidRDefault="000103CD">
      <w:pPr>
        <w:ind w:right="119"/>
        <w:jc w:val="both"/>
        <w:rPr>
          <w:rFonts w:ascii="Play" w:eastAsia="Play" w:hAnsi="Play" w:cs="Play"/>
          <w:color w:val="000000"/>
          <w:sz w:val="20"/>
          <w:szCs w:val="20"/>
        </w:rPr>
      </w:pPr>
      <w:r>
        <w:rPr>
          <w:rFonts w:ascii="Play" w:eastAsia="Play" w:hAnsi="Play" w:cs="Play"/>
          <w:color w:val="000000"/>
          <w:sz w:val="20"/>
          <w:szCs w:val="20"/>
          <w:highlight w:val="green"/>
        </w:rPr>
        <w:t>Resumir la especificaciones técnicas</w:t>
      </w:r>
      <w:r>
        <w:rPr>
          <w:rFonts w:ascii="Play" w:eastAsia="Play" w:hAnsi="Play" w:cs="Play"/>
          <w:color w:val="000000"/>
          <w:sz w:val="20"/>
          <w:szCs w:val="20"/>
        </w:rPr>
        <w:t>.</w:t>
      </w:r>
    </w:p>
    <w:p w:rsidR="00883971" w:rsidRDefault="00883971">
      <w:pPr>
        <w:ind w:right="-336"/>
        <w:jc w:val="both"/>
        <w:rPr>
          <w:rFonts w:ascii="Play" w:eastAsia="Play" w:hAnsi="Play" w:cs="Play"/>
          <w:color w:val="000000"/>
          <w:sz w:val="20"/>
          <w:szCs w:val="20"/>
          <w:u w:val="single"/>
        </w:rPr>
      </w:pPr>
    </w:p>
    <w:tbl>
      <w:tblPr>
        <w:tblStyle w:val="a0"/>
        <w:tblW w:w="8488" w:type="dxa"/>
        <w:tblInd w:w="0" w:type="dxa"/>
        <w:tblLayout w:type="fixed"/>
        <w:tblLook w:val="0400" w:firstRow="0" w:lastRow="0" w:firstColumn="0" w:lastColumn="0" w:noHBand="0" w:noVBand="1"/>
      </w:tblPr>
      <w:tblGrid>
        <w:gridCol w:w="1295"/>
        <w:gridCol w:w="1185"/>
        <w:gridCol w:w="4183"/>
        <w:gridCol w:w="915"/>
        <w:gridCol w:w="910"/>
      </w:tblGrid>
      <w:tr w:rsidR="00883971">
        <w:trPr>
          <w:trHeight w:val="255"/>
        </w:trPr>
        <w:tc>
          <w:tcPr>
            <w:tcW w:w="1295"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No. Solicitud</w:t>
            </w:r>
          </w:p>
        </w:tc>
        <w:tc>
          <w:tcPr>
            <w:tcW w:w="1185" w:type="dxa"/>
            <w:tcBorders>
              <w:top w:val="single" w:sz="4" w:space="0" w:color="000000"/>
              <w:left w:val="nil"/>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Cantidad</w:t>
            </w:r>
          </w:p>
        </w:tc>
        <w:tc>
          <w:tcPr>
            <w:tcW w:w="4183" w:type="dxa"/>
            <w:tcBorders>
              <w:top w:val="single" w:sz="4" w:space="0" w:color="000000"/>
              <w:left w:val="nil"/>
              <w:bottom w:val="single" w:sz="4" w:space="0" w:color="000000"/>
              <w:right w:val="single" w:sz="4" w:space="0" w:color="000000"/>
            </w:tcBorders>
            <w:shd w:val="clear" w:color="auto" w:fill="D5DCE4"/>
            <w:vAlign w:val="bottom"/>
          </w:tcPr>
          <w:p w:rsidR="00883971" w:rsidRDefault="000103CD">
            <w:pPr>
              <w:jc w:val="center"/>
              <w:rPr>
                <w:rFonts w:ascii="Play" w:eastAsia="Play" w:hAnsi="Play" w:cs="Play"/>
                <w:b/>
                <w:sz w:val="20"/>
                <w:szCs w:val="20"/>
              </w:rPr>
            </w:pPr>
            <w:r>
              <w:rPr>
                <w:rFonts w:ascii="Play" w:eastAsia="Play" w:hAnsi="Play" w:cs="Play"/>
                <w:b/>
                <w:sz w:val="20"/>
                <w:szCs w:val="20"/>
              </w:rPr>
              <w:t>Descripción</w:t>
            </w:r>
          </w:p>
        </w:tc>
        <w:tc>
          <w:tcPr>
            <w:tcW w:w="915" w:type="dxa"/>
            <w:tcBorders>
              <w:top w:val="single" w:sz="4" w:space="0" w:color="000000"/>
              <w:left w:val="nil"/>
              <w:bottom w:val="single" w:sz="4" w:space="0" w:color="000000"/>
              <w:right w:val="single" w:sz="4" w:space="0" w:color="000000"/>
            </w:tcBorders>
            <w:shd w:val="clear" w:color="auto" w:fill="D5DCE4"/>
            <w:vAlign w:val="bottom"/>
          </w:tcPr>
          <w:p w:rsidR="00883971" w:rsidRDefault="000103CD">
            <w:pPr>
              <w:jc w:val="center"/>
              <w:rPr>
                <w:rFonts w:ascii="Play" w:eastAsia="Play" w:hAnsi="Play" w:cs="Play"/>
                <w:b/>
                <w:sz w:val="20"/>
                <w:szCs w:val="20"/>
              </w:rPr>
            </w:pPr>
            <w:r>
              <w:rPr>
                <w:rFonts w:ascii="Play" w:eastAsia="Play" w:hAnsi="Play" w:cs="Play"/>
                <w:b/>
                <w:sz w:val="20"/>
                <w:szCs w:val="20"/>
              </w:rPr>
              <w:t>Unidad</w:t>
            </w:r>
          </w:p>
        </w:tc>
        <w:tc>
          <w:tcPr>
            <w:tcW w:w="910" w:type="dxa"/>
            <w:tcBorders>
              <w:top w:val="single" w:sz="4" w:space="0" w:color="000000"/>
              <w:left w:val="nil"/>
              <w:bottom w:val="single" w:sz="4" w:space="0" w:color="000000"/>
              <w:right w:val="single" w:sz="4" w:space="0" w:color="000000"/>
            </w:tcBorders>
            <w:shd w:val="clear" w:color="auto" w:fill="D5DCE4"/>
          </w:tcPr>
          <w:p w:rsidR="00883971" w:rsidRDefault="000103CD">
            <w:pPr>
              <w:jc w:val="center"/>
              <w:rPr>
                <w:rFonts w:ascii="Play" w:eastAsia="Play" w:hAnsi="Play" w:cs="Play"/>
                <w:b/>
                <w:sz w:val="20"/>
                <w:szCs w:val="20"/>
              </w:rPr>
            </w:pPr>
            <w:r>
              <w:rPr>
                <w:rFonts w:ascii="Play" w:eastAsia="Play" w:hAnsi="Play" w:cs="Play"/>
                <w:b/>
                <w:sz w:val="20"/>
                <w:szCs w:val="20"/>
              </w:rPr>
              <w:t>Código C</w:t>
            </w:r>
            <w:r>
              <w:rPr>
                <w:rFonts w:ascii="Play" w:eastAsia="Play" w:hAnsi="Play" w:cs="Play"/>
                <w:b/>
                <w:sz w:val="20"/>
                <w:szCs w:val="20"/>
              </w:rPr>
              <w:t>PC</w:t>
            </w:r>
          </w:p>
        </w:tc>
      </w:tr>
      <w:tr w:rsidR="00883971">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rsidR="00883971" w:rsidRDefault="00883971">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rsidR="00883971" w:rsidRDefault="00883971">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1295" w:type="dxa"/>
            <w:tcBorders>
              <w:top w:val="nil"/>
              <w:left w:val="single" w:sz="4" w:space="0" w:color="000000"/>
              <w:bottom w:val="nil"/>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1185" w:type="dxa"/>
            <w:tcBorders>
              <w:top w:val="nil"/>
              <w:left w:val="nil"/>
              <w:bottom w:val="nil"/>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4183" w:type="dxa"/>
            <w:tcBorders>
              <w:top w:val="nil"/>
              <w:left w:val="nil"/>
              <w:bottom w:val="nil"/>
              <w:right w:val="single" w:sz="4" w:space="0" w:color="000000"/>
            </w:tcBorders>
            <w:shd w:val="clear" w:color="auto" w:fill="auto"/>
            <w:vAlign w:val="bottom"/>
          </w:tcPr>
          <w:p w:rsidR="00883971" w:rsidRDefault="00883971">
            <w:pPr>
              <w:rPr>
                <w:rFonts w:ascii="Play" w:eastAsia="Play" w:hAnsi="Play" w:cs="Play"/>
                <w:sz w:val="20"/>
                <w:szCs w:val="20"/>
              </w:rPr>
            </w:pPr>
          </w:p>
        </w:tc>
        <w:tc>
          <w:tcPr>
            <w:tcW w:w="915" w:type="dxa"/>
            <w:tcBorders>
              <w:top w:val="nil"/>
              <w:left w:val="nil"/>
              <w:bottom w:val="nil"/>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nil"/>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rsidR="00883971" w:rsidRDefault="00883971">
            <w:pP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rsidR="00883971" w:rsidRDefault="00883971">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910" w:type="dxa"/>
            <w:tcBorders>
              <w:top w:val="nil"/>
              <w:left w:val="nil"/>
              <w:bottom w:val="single" w:sz="4" w:space="0" w:color="000000"/>
              <w:right w:val="single" w:sz="4" w:space="0" w:color="000000"/>
            </w:tcBorders>
          </w:tcPr>
          <w:p w:rsidR="00883971" w:rsidRDefault="00883971">
            <w:pPr>
              <w:jc w:val="center"/>
              <w:rPr>
                <w:rFonts w:ascii="Play" w:eastAsia="Play" w:hAnsi="Play" w:cs="Play"/>
                <w:sz w:val="20"/>
                <w:szCs w:val="20"/>
              </w:rPr>
            </w:pPr>
          </w:p>
        </w:tc>
      </w:tr>
    </w:tbl>
    <w:p w:rsidR="00883971" w:rsidRDefault="00883971">
      <w:pPr>
        <w:jc w:val="both"/>
        <w:rPr>
          <w:rFonts w:ascii="Play" w:eastAsia="Play" w:hAnsi="Play" w:cs="Play"/>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PROFORMAS DE PROVEEDORES DE LA OBRA A CONTRATAR</w:t>
      </w: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jc w:val="both"/>
        <w:rPr>
          <w:rFonts w:ascii="Play" w:eastAsia="Play" w:hAnsi="Play" w:cs="Play"/>
          <w:sz w:val="20"/>
          <w:szCs w:val="20"/>
        </w:rPr>
      </w:pPr>
      <w:r>
        <w:rPr>
          <w:rFonts w:ascii="Play" w:eastAsia="Play" w:hAnsi="Play" w:cs="Play"/>
          <w:sz w:val="20"/>
          <w:szCs w:val="20"/>
        </w:rPr>
        <w:t xml:space="preserve">Cumplido el término indicado en el numeral </w:t>
      </w:r>
      <w:r>
        <w:rPr>
          <w:rFonts w:ascii="Play" w:eastAsia="Play" w:hAnsi="Play" w:cs="Play"/>
          <w:color w:val="000000"/>
          <w:sz w:val="20"/>
          <w:szCs w:val="20"/>
        </w:rPr>
        <w:t>2</w:t>
      </w:r>
      <w:r>
        <w:rPr>
          <w:rFonts w:ascii="Play" w:eastAsia="Play" w:hAnsi="Play" w:cs="Play"/>
          <w:sz w:val="20"/>
          <w:szCs w:val="20"/>
        </w:rPr>
        <w:t>, se recibieron las cotizaciones de los proveedores que se detallan a continuación:</w:t>
      </w:r>
    </w:p>
    <w:p w:rsidR="00883971" w:rsidRDefault="00883971">
      <w:pPr>
        <w:jc w:val="both"/>
        <w:rPr>
          <w:rFonts w:ascii="Play" w:eastAsia="Play" w:hAnsi="Play" w:cs="Play"/>
          <w:sz w:val="20"/>
          <w:szCs w:val="20"/>
        </w:rPr>
      </w:pPr>
    </w:p>
    <w:tbl>
      <w:tblPr>
        <w:tblStyle w:val="a1"/>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004"/>
        <w:gridCol w:w="1757"/>
        <w:gridCol w:w="1381"/>
        <w:gridCol w:w="1686"/>
        <w:gridCol w:w="1686"/>
      </w:tblGrid>
      <w:tr w:rsidR="000103CD" w:rsidTr="000103CD">
        <w:trPr>
          <w:jc w:val="center"/>
        </w:trPr>
        <w:tc>
          <w:tcPr>
            <w:tcW w:w="1660" w:type="dxa"/>
            <w:shd w:val="clear" w:color="auto" w:fill="auto"/>
          </w:tcPr>
          <w:p w:rsidR="000103CD" w:rsidRDefault="000103CD" w:rsidP="000103CD">
            <w:pPr>
              <w:jc w:val="center"/>
              <w:rPr>
                <w:rFonts w:ascii="Play" w:eastAsia="Play" w:hAnsi="Play" w:cs="Play"/>
                <w:b/>
                <w:sz w:val="20"/>
                <w:szCs w:val="20"/>
              </w:rPr>
            </w:pPr>
            <w:r>
              <w:rPr>
                <w:rFonts w:ascii="Play" w:eastAsia="Play" w:hAnsi="Play" w:cs="Play"/>
                <w:b/>
                <w:sz w:val="20"/>
                <w:szCs w:val="20"/>
              </w:rPr>
              <w:t>RUC</w:t>
            </w:r>
          </w:p>
        </w:tc>
        <w:tc>
          <w:tcPr>
            <w:tcW w:w="2004" w:type="dxa"/>
            <w:shd w:val="clear" w:color="auto" w:fill="auto"/>
          </w:tcPr>
          <w:p w:rsidR="000103CD" w:rsidRDefault="000103CD" w:rsidP="000103CD">
            <w:pPr>
              <w:jc w:val="center"/>
              <w:rPr>
                <w:rFonts w:ascii="Play" w:eastAsia="Play" w:hAnsi="Play" w:cs="Play"/>
                <w:b/>
                <w:sz w:val="20"/>
                <w:szCs w:val="20"/>
              </w:rPr>
            </w:pPr>
            <w:r>
              <w:rPr>
                <w:rFonts w:ascii="Play" w:eastAsia="Play" w:hAnsi="Play" w:cs="Play"/>
                <w:b/>
                <w:sz w:val="20"/>
                <w:szCs w:val="20"/>
              </w:rPr>
              <w:t>Razón social</w:t>
            </w:r>
          </w:p>
        </w:tc>
        <w:tc>
          <w:tcPr>
            <w:tcW w:w="1757" w:type="dxa"/>
            <w:shd w:val="clear" w:color="auto" w:fill="auto"/>
          </w:tcPr>
          <w:p w:rsidR="000103CD" w:rsidRDefault="000103CD" w:rsidP="000103CD">
            <w:pPr>
              <w:jc w:val="center"/>
              <w:rPr>
                <w:rFonts w:ascii="Play" w:eastAsia="Play" w:hAnsi="Play" w:cs="Play"/>
                <w:b/>
                <w:sz w:val="20"/>
                <w:szCs w:val="20"/>
              </w:rPr>
            </w:pPr>
            <w:r>
              <w:rPr>
                <w:rFonts w:ascii="Play" w:eastAsia="Play" w:hAnsi="Play" w:cs="Play"/>
                <w:b/>
                <w:sz w:val="20"/>
                <w:szCs w:val="20"/>
              </w:rPr>
              <w:t>Cotización ($) sin IVA</w:t>
            </w:r>
          </w:p>
        </w:tc>
        <w:tc>
          <w:tcPr>
            <w:tcW w:w="1381" w:type="dxa"/>
          </w:tcPr>
          <w:p w:rsidR="000103CD" w:rsidRDefault="000103CD" w:rsidP="000103CD">
            <w:pPr>
              <w:jc w:val="center"/>
              <w:rPr>
                <w:rFonts w:ascii="Play" w:eastAsia="Play" w:hAnsi="Play" w:cs="Play"/>
                <w:b/>
                <w:sz w:val="20"/>
                <w:szCs w:val="20"/>
              </w:rPr>
            </w:pPr>
            <w:r>
              <w:rPr>
                <w:rFonts w:ascii="Play" w:eastAsia="Play" w:hAnsi="Play" w:cs="Play"/>
                <w:b/>
                <w:sz w:val="20"/>
                <w:szCs w:val="20"/>
              </w:rPr>
              <w:t>Fecha de la cotización</w:t>
            </w:r>
          </w:p>
        </w:tc>
        <w:tc>
          <w:tcPr>
            <w:tcW w:w="1686" w:type="dxa"/>
          </w:tcPr>
          <w:p w:rsidR="000103CD" w:rsidRDefault="000103CD" w:rsidP="000103CD">
            <w:pPr>
              <w:jc w:val="center"/>
              <w:rPr>
                <w:rFonts w:ascii="Play" w:eastAsia="Play" w:hAnsi="Play" w:cs="Play"/>
                <w:b/>
                <w:sz w:val="20"/>
                <w:szCs w:val="20"/>
              </w:rPr>
            </w:pPr>
            <w:r w:rsidRPr="001D6189">
              <w:rPr>
                <w:rFonts w:ascii="Play" w:eastAsia="Play" w:hAnsi="Play" w:cs="Play"/>
                <w:b/>
                <w:sz w:val="20"/>
                <w:szCs w:val="20"/>
              </w:rPr>
              <w:t>Fecha límite de recepción de proformas</w:t>
            </w:r>
          </w:p>
        </w:tc>
        <w:tc>
          <w:tcPr>
            <w:tcW w:w="1686" w:type="dxa"/>
            <w:shd w:val="clear" w:color="auto" w:fill="auto"/>
          </w:tcPr>
          <w:p w:rsidR="000103CD" w:rsidRDefault="000103CD" w:rsidP="000103CD">
            <w:pPr>
              <w:jc w:val="center"/>
              <w:rPr>
                <w:rFonts w:ascii="Play" w:eastAsia="Play" w:hAnsi="Play" w:cs="Play"/>
                <w:b/>
                <w:sz w:val="20"/>
                <w:szCs w:val="20"/>
              </w:rPr>
            </w:pPr>
            <w:r>
              <w:rPr>
                <w:rFonts w:ascii="Play" w:eastAsia="Play" w:hAnsi="Play" w:cs="Play"/>
                <w:b/>
                <w:sz w:val="20"/>
                <w:szCs w:val="20"/>
              </w:rPr>
              <w:t>Observación</w:t>
            </w:r>
          </w:p>
        </w:tc>
      </w:tr>
      <w:tr w:rsidR="000103CD" w:rsidTr="000103CD">
        <w:trPr>
          <w:jc w:val="center"/>
        </w:trPr>
        <w:tc>
          <w:tcPr>
            <w:tcW w:w="1660" w:type="dxa"/>
            <w:shd w:val="clear" w:color="auto" w:fill="auto"/>
          </w:tcPr>
          <w:p w:rsidR="000103CD" w:rsidRDefault="000103CD" w:rsidP="000103CD">
            <w:pPr>
              <w:jc w:val="both"/>
              <w:rPr>
                <w:rFonts w:ascii="Play" w:eastAsia="Play" w:hAnsi="Play" w:cs="Play"/>
                <w:sz w:val="20"/>
                <w:szCs w:val="20"/>
              </w:rPr>
            </w:pPr>
            <w:r>
              <w:rPr>
                <w:rFonts w:ascii="Play" w:eastAsia="Play" w:hAnsi="Play" w:cs="Play"/>
                <w:sz w:val="20"/>
                <w:szCs w:val="20"/>
              </w:rPr>
              <w:t>XXXXXXXX</w:t>
            </w:r>
          </w:p>
        </w:tc>
        <w:tc>
          <w:tcPr>
            <w:tcW w:w="2004" w:type="dxa"/>
            <w:shd w:val="clear" w:color="auto" w:fill="auto"/>
          </w:tcPr>
          <w:p w:rsidR="000103CD" w:rsidRDefault="000103CD" w:rsidP="000103CD">
            <w:pPr>
              <w:jc w:val="both"/>
              <w:rPr>
                <w:rFonts w:ascii="Play" w:eastAsia="Play" w:hAnsi="Play" w:cs="Play"/>
                <w:sz w:val="20"/>
                <w:szCs w:val="20"/>
              </w:rPr>
            </w:pPr>
            <w:r>
              <w:rPr>
                <w:rFonts w:ascii="Play" w:eastAsia="Play" w:hAnsi="Play" w:cs="Play"/>
                <w:sz w:val="20"/>
                <w:szCs w:val="20"/>
              </w:rPr>
              <w:t>XXXXXXXXXXXXX</w:t>
            </w:r>
          </w:p>
        </w:tc>
        <w:tc>
          <w:tcPr>
            <w:tcW w:w="1757" w:type="dxa"/>
            <w:shd w:val="clear" w:color="auto" w:fill="auto"/>
          </w:tcPr>
          <w:p w:rsidR="000103CD" w:rsidRDefault="000103CD" w:rsidP="000103CD">
            <w:pPr>
              <w:jc w:val="right"/>
              <w:rPr>
                <w:rFonts w:ascii="Play" w:eastAsia="Play" w:hAnsi="Play" w:cs="Play"/>
                <w:sz w:val="20"/>
                <w:szCs w:val="20"/>
              </w:rPr>
            </w:pPr>
            <w:r>
              <w:rPr>
                <w:rFonts w:ascii="Play" w:eastAsia="Play" w:hAnsi="Play" w:cs="Play"/>
                <w:sz w:val="20"/>
                <w:szCs w:val="20"/>
              </w:rPr>
              <w:t>xxxx</w:t>
            </w:r>
          </w:p>
        </w:tc>
        <w:tc>
          <w:tcPr>
            <w:tcW w:w="1381" w:type="dxa"/>
          </w:tcPr>
          <w:p w:rsidR="000103CD" w:rsidRDefault="000103CD" w:rsidP="000103CD">
            <w:pPr>
              <w:jc w:val="both"/>
              <w:rPr>
                <w:rFonts w:ascii="Play" w:eastAsia="Play" w:hAnsi="Play" w:cs="Play"/>
                <w:sz w:val="20"/>
                <w:szCs w:val="20"/>
              </w:rPr>
            </w:pPr>
            <w:r>
              <w:rPr>
                <w:rFonts w:ascii="Play" w:eastAsia="Play" w:hAnsi="Play" w:cs="Play"/>
                <w:sz w:val="20"/>
                <w:szCs w:val="20"/>
              </w:rPr>
              <w:t>xxxx</w:t>
            </w:r>
          </w:p>
        </w:tc>
        <w:tc>
          <w:tcPr>
            <w:tcW w:w="1686" w:type="dxa"/>
          </w:tcPr>
          <w:p w:rsidR="000103CD" w:rsidRDefault="000103CD" w:rsidP="000103CD">
            <w:pPr>
              <w:jc w:val="both"/>
              <w:rPr>
                <w:rFonts w:ascii="Play" w:eastAsia="Play" w:hAnsi="Play" w:cs="Play"/>
                <w:sz w:val="20"/>
                <w:szCs w:val="20"/>
              </w:rPr>
            </w:pPr>
            <w:bookmarkStart w:id="1" w:name="_GoBack"/>
            <w:bookmarkEnd w:id="1"/>
          </w:p>
        </w:tc>
        <w:tc>
          <w:tcPr>
            <w:tcW w:w="1686" w:type="dxa"/>
            <w:shd w:val="clear" w:color="auto" w:fill="auto"/>
          </w:tcPr>
          <w:p w:rsidR="000103CD" w:rsidRDefault="000103CD" w:rsidP="000103CD">
            <w:pPr>
              <w:jc w:val="both"/>
              <w:rPr>
                <w:rFonts w:ascii="Play" w:eastAsia="Play" w:hAnsi="Play" w:cs="Play"/>
                <w:sz w:val="20"/>
                <w:szCs w:val="20"/>
              </w:rPr>
            </w:pPr>
          </w:p>
        </w:tc>
      </w:tr>
      <w:tr w:rsidR="000103CD" w:rsidTr="000103CD">
        <w:trPr>
          <w:jc w:val="center"/>
        </w:trPr>
        <w:tc>
          <w:tcPr>
            <w:tcW w:w="1660" w:type="dxa"/>
            <w:shd w:val="clear" w:color="auto" w:fill="auto"/>
          </w:tcPr>
          <w:p w:rsidR="000103CD" w:rsidRDefault="000103CD">
            <w:pPr>
              <w:jc w:val="both"/>
              <w:rPr>
                <w:rFonts w:ascii="Play" w:eastAsia="Play" w:hAnsi="Play" w:cs="Play"/>
                <w:sz w:val="20"/>
                <w:szCs w:val="20"/>
              </w:rPr>
            </w:pPr>
          </w:p>
        </w:tc>
        <w:tc>
          <w:tcPr>
            <w:tcW w:w="2004" w:type="dxa"/>
            <w:shd w:val="clear" w:color="auto" w:fill="auto"/>
          </w:tcPr>
          <w:p w:rsidR="000103CD" w:rsidRDefault="000103CD">
            <w:pPr>
              <w:jc w:val="both"/>
              <w:rPr>
                <w:rFonts w:ascii="Play" w:eastAsia="Play" w:hAnsi="Play" w:cs="Play"/>
                <w:sz w:val="20"/>
                <w:szCs w:val="20"/>
              </w:rPr>
            </w:pPr>
          </w:p>
        </w:tc>
        <w:tc>
          <w:tcPr>
            <w:tcW w:w="1757" w:type="dxa"/>
            <w:shd w:val="clear" w:color="auto" w:fill="auto"/>
          </w:tcPr>
          <w:p w:rsidR="000103CD" w:rsidRDefault="000103CD">
            <w:pPr>
              <w:jc w:val="both"/>
              <w:rPr>
                <w:rFonts w:ascii="Play" w:eastAsia="Play" w:hAnsi="Play" w:cs="Play"/>
                <w:sz w:val="20"/>
                <w:szCs w:val="20"/>
              </w:rPr>
            </w:pPr>
          </w:p>
        </w:tc>
        <w:tc>
          <w:tcPr>
            <w:tcW w:w="1381" w:type="dxa"/>
          </w:tcPr>
          <w:p w:rsidR="000103CD" w:rsidRDefault="000103CD">
            <w:pPr>
              <w:jc w:val="both"/>
              <w:rPr>
                <w:rFonts w:ascii="Play" w:eastAsia="Play" w:hAnsi="Play" w:cs="Play"/>
                <w:sz w:val="20"/>
                <w:szCs w:val="20"/>
              </w:rPr>
            </w:pPr>
          </w:p>
        </w:tc>
        <w:tc>
          <w:tcPr>
            <w:tcW w:w="1686" w:type="dxa"/>
          </w:tcPr>
          <w:p w:rsidR="000103CD" w:rsidRDefault="000103CD">
            <w:pPr>
              <w:jc w:val="both"/>
              <w:rPr>
                <w:rFonts w:ascii="Play" w:eastAsia="Play" w:hAnsi="Play" w:cs="Play"/>
                <w:sz w:val="20"/>
                <w:szCs w:val="20"/>
              </w:rPr>
            </w:pPr>
          </w:p>
        </w:tc>
        <w:tc>
          <w:tcPr>
            <w:tcW w:w="1686" w:type="dxa"/>
            <w:shd w:val="clear" w:color="auto" w:fill="auto"/>
          </w:tcPr>
          <w:p w:rsidR="000103CD" w:rsidRDefault="000103CD">
            <w:pPr>
              <w:jc w:val="both"/>
              <w:rPr>
                <w:rFonts w:ascii="Play" w:eastAsia="Play" w:hAnsi="Play" w:cs="Play"/>
                <w:sz w:val="20"/>
                <w:szCs w:val="20"/>
              </w:rPr>
            </w:pPr>
          </w:p>
        </w:tc>
      </w:tr>
    </w:tbl>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REVISIÓN DE INHABILIDADES</w:t>
      </w: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jc w:val="both"/>
        <w:rPr>
          <w:rFonts w:ascii="Play" w:eastAsia="Play" w:hAnsi="Play" w:cs="Play"/>
          <w:sz w:val="20"/>
          <w:szCs w:val="20"/>
        </w:rPr>
      </w:pPr>
      <w:r>
        <w:rPr>
          <w:rFonts w:ascii="Play" w:eastAsia="Play" w:hAnsi="Play" w:cs="Play"/>
          <w:sz w:val="20"/>
          <w:szCs w:val="20"/>
        </w:rPr>
        <w:t>Mediante las debidas revisiones en el SOCE de acuerdo a lo establecido en el artículo 18 y 251 del RGLOSNCP, se validó que los oferentes se encuentren habilitados, tengan la actividad comercial acorde al objeto de contratación y no hayan sido declarados co</w:t>
      </w:r>
      <w:r>
        <w:rPr>
          <w:rFonts w:ascii="Play" w:eastAsia="Play" w:hAnsi="Play" w:cs="Play"/>
          <w:sz w:val="20"/>
          <w:szCs w:val="20"/>
        </w:rPr>
        <w:t xml:space="preserve">ntratistas incumplidos. </w:t>
      </w:r>
    </w:p>
    <w:p w:rsidR="00883971" w:rsidRDefault="00883971">
      <w:pPr>
        <w:jc w:val="both"/>
        <w:rPr>
          <w:rFonts w:ascii="Play" w:eastAsia="Play" w:hAnsi="Play" w:cs="Play"/>
          <w:sz w:val="20"/>
          <w:szCs w:val="20"/>
        </w:rPr>
      </w:pPr>
    </w:p>
    <w:p w:rsidR="00883971" w:rsidRDefault="000103CD">
      <w:pPr>
        <w:jc w:val="both"/>
        <w:rPr>
          <w:rFonts w:ascii="Play" w:eastAsia="Play" w:hAnsi="Play" w:cs="Play"/>
          <w:sz w:val="20"/>
          <w:szCs w:val="20"/>
        </w:rPr>
      </w:pPr>
      <w:r>
        <w:rPr>
          <w:rFonts w:ascii="Play" w:eastAsia="Play" w:hAnsi="Play" w:cs="Play"/>
          <w:sz w:val="20"/>
          <w:szCs w:val="20"/>
        </w:rPr>
        <w:t>Se adjuntan los respaldos con los que se determinó las proformas de los proveedores que pueden ser consideradas o no, para el presente proceso de contratación, según el siguiente detalle:</w:t>
      </w:r>
    </w:p>
    <w:p w:rsidR="00883971" w:rsidRDefault="00883971">
      <w:pPr>
        <w:jc w:val="both"/>
        <w:rPr>
          <w:rFonts w:ascii="Play" w:eastAsia="Play" w:hAnsi="Play" w:cs="Play"/>
          <w:sz w:val="20"/>
          <w:szCs w:val="20"/>
        </w:rPr>
      </w:pPr>
    </w:p>
    <w:tbl>
      <w:tblPr>
        <w:tblStyle w:val="a2"/>
        <w:tblW w:w="8519" w:type="dxa"/>
        <w:tblInd w:w="0" w:type="dxa"/>
        <w:tblLayout w:type="fixed"/>
        <w:tblLook w:val="0400" w:firstRow="0" w:lastRow="0" w:firstColumn="0" w:lastColumn="0" w:noHBand="0" w:noVBand="1"/>
      </w:tblPr>
      <w:tblGrid>
        <w:gridCol w:w="1435"/>
        <w:gridCol w:w="2360"/>
        <w:gridCol w:w="2363"/>
        <w:gridCol w:w="2361"/>
      </w:tblGrid>
      <w:tr w:rsidR="00883971">
        <w:trPr>
          <w:trHeight w:val="313"/>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RUBRO</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Razón social 1</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Razón social 2</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Razón</w:t>
            </w:r>
            <w:r>
              <w:rPr>
                <w:rFonts w:ascii="Play" w:eastAsia="Play" w:hAnsi="Play" w:cs="Play"/>
                <w:b/>
                <w:sz w:val="20"/>
                <w:szCs w:val="20"/>
              </w:rPr>
              <w:t xml:space="preserve"> social 3</w:t>
            </w:r>
          </w:p>
        </w:tc>
      </w:tr>
      <w:tr w:rsidR="00883971">
        <w:trPr>
          <w:trHeight w:val="313"/>
        </w:trPr>
        <w:tc>
          <w:tcPr>
            <w:tcW w:w="1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widowControl w:val="0"/>
              <w:pBdr>
                <w:top w:val="nil"/>
                <w:left w:val="nil"/>
                <w:bottom w:val="nil"/>
                <w:right w:val="nil"/>
                <w:between w:val="nil"/>
              </w:pBdr>
              <w:spacing w:line="276" w:lineRule="auto"/>
              <w:rPr>
                <w:rFonts w:ascii="Play" w:eastAsia="Play" w:hAnsi="Play" w:cs="Play"/>
                <w:b/>
                <w:sz w:val="20"/>
                <w:szCs w:val="20"/>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 xml:space="preserve"> # RUC</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 RUC</w:t>
            </w:r>
          </w:p>
        </w:tc>
      </w:tr>
      <w:tr w:rsidR="00883971">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ESTADO RUC</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 xml:space="preserve">ACTIVO </w:t>
            </w:r>
          </w:p>
          <w:p w:rsidR="00883971" w:rsidRDefault="000103CD">
            <w:pPr>
              <w:jc w:val="center"/>
              <w:rPr>
                <w:rFonts w:ascii="Play" w:eastAsia="Play" w:hAnsi="Play" w:cs="Play"/>
                <w:sz w:val="20"/>
                <w:szCs w:val="20"/>
              </w:rPr>
            </w:pPr>
            <w:r>
              <w:rPr>
                <w:rFonts w:ascii="Play" w:eastAsia="Play" w:hAnsi="Play" w:cs="Play"/>
                <w:sz w:val="20"/>
                <w:szCs w:val="20"/>
              </w:rPr>
              <w:t>INACTIVO</w:t>
            </w:r>
          </w:p>
          <w:p w:rsidR="00883971" w:rsidRDefault="000103CD">
            <w:pPr>
              <w:jc w:val="center"/>
              <w:rPr>
                <w:rFonts w:ascii="Play" w:eastAsia="Play" w:hAnsi="Play" w:cs="Play"/>
                <w:sz w:val="20"/>
                <w:szCs w:val="20"/>
              </w:rPr>
            </w:pPr>
            <w:r>
              <w:rPr>
                <w:rFonts w:ascii="Play" w:eastAsia="Play" w:hAnsi="Play" w:cs="Play"/>
                <w:sz w:val="20"/>
                <w:szCs w:val="20"/>
              </w:rPr>
              <w:t>SUSPENDIDO</w:t>
            </w:r>
          </w:p>
          <w:p w:rsidR="00883971" w:rsidRDefault="000103CD">
            <w:pPr>
              <w:jc w:val="center"/>
              <w:rPr>
                <w:rFonts w:ascii="Play" w:eastAsia="Play" w:hAnsi="Play" w:cs="Play"/>
                <w:sz w:val="20"/>
                <w:szCs w:val="20"/>
              </w:rPr>
            </w:pPr>
            <w:r>
              <w:rPr>
                <w:rFonts w:ascii="Play" w:eastAsia="Play" w:hAnsi="Play" w:cs="Play"/>
                <w:sz w:val="20"/>
                <w:szCs w:val="20"/>
              </w:rPr>
              <w:t xml:space="preserve"> (Verificar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r>
      <w:tr w:rsidR="00883971">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ACTIVIDAD ECONOMICA</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Detallar lo que indica el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r>
      <w:tr w:rsidR="00883971">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ESTADO 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HABILITADO</w:t>
            </w:r>
          </w:p>
          <w:p w:rsidR="00883971" w:rsidRDefault="000103CD">
            <w:pPr>
              <w:jc w:val="center"/>
              <w:rPr>
                <w:rFonts w:ascii="Play" w:eastAsia="Play" w:hAnsi="Play" w:cs="Play"/>
                <w:sz w:val="20"/>
                <w:szCs w:val="20"/>
              </w:rPr>
            </w:pPr>
            <w:r>
              <w:rPr>
                <w:rFonts w:ascii="Play" w:eastAsia="Play" w:hAnsi="Play" w:cs="Play"/>
                <w:sz w:val="20"/>
                <w:szCs w:val="20"/>
              </w:rPr>
              <w:t>NO HABILITADO</w:t>
            </w:r>
          </w:p>
          <w:p w:rsidR="00883971" w:rsidRDefault="000103CD">
            <w:pPr>
              <w:jc w:val="center"/>
              <w:rPr>
                <w:rFonts w:ascii="Play" w:eastAsia="Play" w:hAnsi="Play" w:cs="Play"/>
                <w:sz w:val="20"/>
                <w:szCs w:val="20"/>
              </w:rPr>
            </w:pPr>
            <w:r>
              <w:rPr>
                <w:rFonts w:ascii="Play" w:eastAsia="Play" w:hAnsi="Play" w:cs="Play"/>
                <w:sz w:val="20"/>
                <w:szCs w:val="20"/>
              </w:rPr>
              <w:t>NO REGISTRADO</w:t>
            </w:r>
          </w:p>
          <w:p w:rsidR="00883971" w:rsidRDefault="000103CD">
            <w:pPr>
              <w:jc w:val="center"/>
              <w:rPr>
                <w:rFonts w:ascii="Play" w:eastAsia="Play" w:hAnsi="Play" w:cs="Play"/>
                <w:sz w:val="20"/>
                <w:szCs w:val="20"/>
              </w:rPr>
            </w:pPr>
            <w:r>
              <w:rPr>
                <w:rFonts w:ascii="Play" w:eastAsia="Play" w:hAnsi="Play" w:cs="Play"/>
                <w:sz w:val="20"/>
                <w:szCs w:val="20"/>
              </w:rPr>
              <w:t>PASIVO</w:t>
            </w:r>
          </w:p>
          <w:p w:rsidR="00883971" w:rsidRDefault="000103CD">
            <w:pPr>
              <w:jc w:val="center"/>
              <w:rPr>
                <w:rFonts w:ascii="Play" w:eastAsia="Play" w:hAnsi="Play" w:cs="Play"/>
                <w:sz w:val="20"/>
                <w:szCs w:val="20"/>
              </w:rPr>
            </w:pPr>
            <w:r>
              <w:rPr>
                <w:rFonts w:ascii="Play" w:eastAsia="Play" w:hAnsi="Play" w:cs="Play"/>
                <w:sz w:val="20"/>
                <w:szCs w:val="20"/>
              </w:rPr>
              <w:t>(Verificar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r>
      <w:tr w:rsidR="00883971">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No es contratista incumplido</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r>
    </w:tbl>
    <w:p w:rsidR="00883971" w:rsidRDefault="000103CD">
      <w:pPr>
        <w:jc w:val="both"/>
        <w:rPr>
          <w:rFonts w:ascii="Play" w:eastAsia="Play" w:hAnsi="Play" w:cs="Play"/>
          <w:b/>
          <w:i/>
          <w:sz w:val="20"/>
          <w:szCs w:val="20"/>
        </w:rPr>
      </w:pPr>
      <w:r>
        <w:rPr>
          <w:rFonts w:ascii="Play" w:eastAsia="Play" w:hAnsi="Play" w:cs="Play"/>
          <w:b/>
          <w:i/>
          <w:sz w:val="20"/>
          <w:szCs w:val="20"/>
        </w:rPr>
        <w:t>En caso de incumplimiento de algún proveedor, indicar en este punto que por esa razón no será considerada su cotización.</w:t>
      </w:r>
    </w:p>
    <w:p w:rsidR="00883971" w:rsidRDefault="00883971">
      <w:pPr>
        <w:jc w:val="both"/>
        <w:rPr>
          <w:rFonts w:ascii="Play" w:eastAsia="Play" w:hAnsi="Play" w:cs="Play"/>
          <w:b/>
          <w:i/>
          <w:sz w:val="20"/>
          <w:szCs w:val="20"/>
        </w:rPr>
      </w:pPr>
    </w:p>
    <w:p w:rsidR="00883971" w:rsidRDefault="000103CD">
      <w:pPr>
        <w:jc w:val="both"/>
        <w:rPr>
          <w:rFonts w:ascii="Play" w:eastAsia="Play" w:hAnsi="Play" w:cs="Play"/>
          <w:b/>
          <w:sz w:val="20"/>
          <w:szCs w:val="20"/>
        </w:rPr>
      </w:pPr>
      <w:r>
        <w:rPr>
          <w:rFonts w:ascii="Play" w:eastAsia="Play" w:hAnsi="Play" w:cs="Play"/>
          <w:b/>
          <w:sz w:val="20"/>
          <w:szCs w:val="20"/>
        </w:rPr>
        <w:t>5.1 Declaración de vinculación específica aplicable a los procedimientos de Contratación Pública.</w:t>
      </w:r>
    </w:p>
    <w:p w:rsidR="00883971" w:rsidRDefault="00883971">
      <w:pPr>
        <w:jc w:val="both"/>
        <w:rPr>
          <w:rFonts w:ascii="Play" w:eastAsia="Play" w:hAnsi="Play" w:cs="Play"/>
          <w:b/>
          <w:sz w:val="20"/>
          <w:szCs w:val="20"/>
        </w:rPr>
      </w:pPr>
    </w:p>
    <w:tbl>
      <w:tblPr>
        <w:tblStyle w:val="a3"/>
        <w:tblW w:w="10467" w:type="dxa"/>
        <w:jc w:val="center"/>
        <w:tblInd w:w="0" w:type="dxa"/>
        <w:tblLayout w:type="fixed"/>
        <w:tblLook w:val="0400" w:firstRow="0" w:lastRow="0" w:firstColumn="0" w:lastColumn="0" w:noHBand="0" w:noVBand="1"/>
      </w:tblPr>
      <w:tblGrid>
        <w:gridCol w:w="643"/>
        <w:gridCol w:w="1000"/>
        <w:gridCol w:w="806"/>
        <w:gridCol w:w="997"/>
        <w:gridCol w:w="1415"/>
        <w:gridCol w:w="1000"/>
        <w:gridCol w:w="806"/>
        <w:gridCol w:w="997"/>
        <w:gridCol w:w="1000"/>
        <w:gridCol w:w="806"/>
        <w:gridCol w:w="997"/>
      </w:tblGrid>
      <w:tr w:rsidR="00883971">
        <w:trPr>
          <w:trHeight w:val="268"/>
          <w:jc w:val="center"/>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83971" w:rsidRDefault="000103CD">
            <w:pPr>
              <w:jc w:val="center"/>
              <w:rPr>
                <w:b/>
                <w:color w:val="000000"/>
                <w:sz w:val="20"/>
                <w:szCs w:val="20"/>
              </w:rPr>
            </w:pPr>
            <w:r>
              <w:rPr>
                <w:b/>
                <w:color w:val="000000"/>
                <w:sz w:val="20"/>
                <w:szCs w:val="20"/>
              </w:rPr>
              <w:t>PROVEEDOR</w:t>
            </w:r>
          </w:p>
        </w:tc>
        <w:tc>
          <w:tcPr>
            <w:tcW w:w="4218" w:type="dxa"/>
            <w:gridSpan w:val="4"/>
            <w:tcBorders>
              <w:top w:val="single" w:sz="4" w:space="0" w:color="000000"/>
              <w:left w:val="nil"/>
              <w:bottom w:val="single" w:sz="4" w:space="0" w:color="000000"/>
              <w:right w:val="single" w:sz="4" w:space="0" w:color="000000"/>
            </w:tcBorders>
            <w:shd w:val="clear" w:color="auto" w:fill="D9E1F2"/>
            <w:vAlign w:val="bottom"/>
          </w:tcPr>
          <w:p w:rsidR="00883971" w:rsidRDefault="000103CD">
            <w:pPr>
              <w:jc w:val="center"/>
              <w:rPr>
                <w:b/>
                <w:color w:val="000000"/>
                <w:sz w:val="20"/>
                <w:szCs w:val="20"/>
              </w:rPr>
            </w:pPr>
            <w:r>
              <w:rPr>
                <w:b/>
                <w:color w:val="000000"/>
                <w:sz w:val="20"/>
                <w:szCs w:val="20"/>
              </w:rPr>
              <w:t>ACCIONISTA</w:t>
            </w:r>
          </w:p>
        </w:tc>
        <w:tc>
          <w:tcPr>
            <w:tcW w:w="2803" w:type="dxa"/>
            <w:gridSpan w:val="3"/>
            <w:tcBorders>
              <w:top w:val="single" w:sz="4" w:space="0" w:color="000000"/>
              <w:left w:val="nil"/>
              <w:bottom w:val="single" w:sz="4" w:space="0" w:color="000000"/>
              <w:right w:val="single" w:sz="4" w:space="0" w:color="000000"/>
            </w:tcBorders>
            <w:shd w:val="clear" w:color="auto" w:fill="E2EFDA"/>
            <w:vAlign w:val="bottom"/>
          </w:tcPr>
          <w:p w:rsidR="00883971" w:rsidRDefault="000103CD">
            <w:pPr>
              <w:jc w:val="center"/>
              <w:rPr>
                <w:b/>
                <w:color w:val="000000"/>
                <w:sz w:val="20"/>
                <w:szCs w:val="20"/>
              </w:rPr>
            </w:pPr>
            <w:r>
              <w:rPr>
                <w:b/>
                <w:color w:val="000000"/>
                <w:sz w:val="20"/>
                <w:szCs w:val="20"/>
              </w:rPr>
              <w:t>ADMINISTRADORES</w:t>
            </w:r>
          </w:p>
        </w:tc>
        <w:tc>
          <w:tcPr>
            <w:tcW w:w="1803" w:type="dxa"/>
            <w:gridSpan w:val="2"/>
            <w:tcBorders>
              <w:top w:val="single" w:sz="4" w:space="0" w:color="000000"/>
              <w:left w:val="nil"/>
              <w:bottom w:val="single" w:sz="4" w:space="0" w:color="000000"/>
              <w:right w:val="single" w:sz="4" w:space="0" w:color="000000"/>
            </w:tcBorders>
            <w:shd w:val="clear" w:color="auto" w:fill="FFF2CC"/>
            <w:vAlign w:val="bottom"/>
          </w:tcPr>
          <w:p w:rsidR="00883971" w:rsidRDefault="000103CD">
            <w:pPr>
              <w:jc w:val="center"/>
              <w:rPr>
                <w:b/>
                <w:color w:val="000000"/>
                <w:sz w:val="20"/>
                <w:szCs w:val="20"/>
              </w:rPr>
            </w:pPr>
            <w:r>
              <w:rPr>
                <w:b/>
                <w:color w:val="000000"/>
                <w:sz w:val="20"/>
                <w:szCs w:val="20"/>
              </w:rPr>
              <w:t>BENEFICIARIO</w:t>
            </w:r>
          </w:p>
        </w:tc>
      </w:tr>
      <w:tr w:rsidR="00883971">
        <w:trPr>
          <w:trHeight w:val="684"/>
          <w:jc w:val="center"/>
        </w:trPr>
        <w:tc>
          <w:tcPr>
            <w:tcW w:w="643" w:type="dxa"/>
            <w:tcBorders>
              <w:top w:val="nil"/>
              <w:left w:val="single" w:sz="4" w:space="0" w:color="000000"/>
              <w:bottom w:val="nil"/>
              <w:right w:val="single" w:sz="4" w:space="0" w:color="000000"/>
            </w:tcBorders>
            <w:shd w:val="clear" w:color="auto" w:fill="auto"/>
            <w:vAlign w:val="center"/>
          </w:tcPr>
          <w:p w:rsidR="00883971" w:rsidRDefault="000103CD">
            <w:pPr>
              <w:jc w:val="center"/>
              <w:rPr>
                <w:b/>
                <w:color w:val="000000"/>
                <w:sz w:val="20"/>
                <w:szCs w:val="20"/>
              </w:rPr>
            </w:pPr>
            <w:r>
              <w:rPr>
                <w:b/>
                <w:color w:val="000000"/>
                <w:sz w:val="20"/>
                <w:szCs w:val="20"/>
              </w:rPr>
              <w:t> </w:t>
            </w:r>
          </w:p>
        </w:tc>
        <w:tc>
          <w:tcPr>
            <w:tcW w:w="1000" w:type="dxa"/>
            <w:tcBorders>
              <w:top w:val="nil"/>
              <w:left w:val="nil"/>
              <w:bottom w:val="nil"/>
              <w:right w:val="single" w:sz="4" w:space="0" w:color="000000"/>
            </w:tcBorders>
            <w:shd w:val="clear" w:color="auto" w:fill="FCE4D6"/>
            <w:vAlign w:val="center"/>
          </w:tcPr>
          <w:p w:rsidR="00883971" w:rsidRDefault="000103CD">
            <w:pPr>
              <w:jc w:val="center"/>
              <w:rPr>
                <w:b/>
                <w:color w:val="000000"/>
                <w:sz w:val="20"/>
                <w:szCs w:val="20"/>
              </w:rPr>
            </w:pPr>
            <w:r>
              <w:rPr>
                <w:b/>
                <w:color w:val="000000"/>
                <w:sz w:val="20"/>
                <w:szCs w:val="20"/>
              </w:rPr>
              <w:t>ESPOSO/A (PERSONA NATURAL)</w:t>
            </w:r>
          </w:p>
        </w:tc>
        <w:tc>
          <w:tcPr>
            <w:tcW w:w="806" w:type="dxa"/>
            <w:tcBorders>
              <w:top w:val="nil"/>
              <w:left w:val="nil"/>
              <w:bottom w:val="nil"/>
              <w:right w:val="single" w:sz="4" w:space="0" w:color="000000"/>
            </w:tcBorders>
            <w:shd w:val="clear" w:color="auto" w:fill="D9E1F2"/>
            <w:vAlign w:val="center"/>
          </w:tcPr>
          <w:p w:rsidR="00883971" w:rsidRDefault="000103CD">
            <w:pPr>
              <w:jc w:val="center"/>
              <w:rPr>
                <w:b/>
                <w:color w:val="000000"/>
                <w:sz w:val="20"/>
                <w:szCs w:val="20"/>
              </w:rPr>
            </w:pPr>
            <w:r>
              <w:rPr>
                <w:b/>
                <w:color w:val="000000"/>
                <w:sz w:val="20"/>
                <w:szCs w:val="20"/>
              </w:rPr>
              <w:t>CEDULA</w:t>
            </w:r>
          </w:p>
        </w:tc>
        <w:tc>
          <w:tcPr>
            <w:tcW w:w="997" w:type="dxa"/>
            <w:tcBorders>
              <w:top w:val="nil"/>
              <w:left w:val="nil"/>
              <w:bottom w:val="nil"/>
              <w:right w:val="single" w:sz="4" w:space="0" w:color="000000"/>
            </w:tcBorders>
            <w:shd w:val="clear" w:color="auto" w:fill="D9E1F2"/>
            <w:vAlign w:val="center"/>
          </w:tcPr>
          <w:p w:rsidR="00883971" w:rsidRDefault="000103CD">
            <w:pPr>
              <w:jc w:val="center"/>
              <w:rPr>
                <w:b/>
                <w:color w:val="000000"/>
                <w:sz w:val="20"/>
                <w:szCs w:val="20"/>
              </w:rPr>
            </w:pPr>
            <w:r>
              <w:rPr>
                <w:b/>
                <w:color w:val="000000"/>
                <w:sz w:val="20"/>
                <w:szCs w:val="20"/>
              </w:rPr>
              <w:t>NOMBRES</w:t>
            </w:r>
          </w:p>
        </w:tc>
        <w:tc>
          <w:tcPr>
            <w:tcW w:w="1415" w:type="dxa"/>
            <w:tcBorders>
              <w:top w:val="nil"/>
              <w:left w:val="nil"/>
              <w:bottom w:val="nil"/>
              <w:right w:val="single" w:sz="4" w:space="0" w:color="000000"/>
            </w:tcBorders>
            <w:shd w:val="clear" w:color="auto" w:fill="D9E1F2"/>
            <w:vAlign w:val="center"/>
          </w:tcPr>
          <w:p w:rsidR="00883971" w:rsidRDefault="000103CD">
            <w:pPr>
              <w:jc w:val="center"/>
              <w:rPr>
                <w:b/>
                <w:color w:val="000000"/>
                <w:sz w:val="20"/>
                <w:szCs w:val="20"/>
              </w:rPr>
            </w:pPr>
            <w:r>
              <w:rPr>
                <w:b/>
                <w:color w:val="000000"/>
                <w:sz w:val="20"/>
                <w:szCs w:val="20"/>
              </w:rPr>
              <w:t>% PARTICIPACION</w:t>
            </w:r>
          </w:p>
        </w:tc>
        <w:tc>
          <w:tcPr>
            <w:tcW w:w="1000" w:type="dxa"/>
            <w:tcBorders>
              <w:top w:val="nil"/>
              <w:left w:val="nil"/>
              <w:bottom w:val="nil"/>
              <w:right w:val="single" w:sz="4" w:space="0" w:color="000000"/>
            </w:tcBorders>
            <w:shd w:val="clear" w:color="auto" w:fill="D9E1F2"/>
            <w:vAlign w:val="center"/>
          </w:tcPr>
          <w:p w:rsidR="00883971" w:rsidRDefault="000103CD">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E2EFDA"/>
            <w:vAlign w:val="center"/>
          </w:tcPr>
          <w:p w:rsidR="00883971" w:rsidRDefault="000103CD">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E2EFDA"/>
            <w:vAlign w:val="center"/>
          </w:tcPr>
          <w:p w:rsidR="00883971" w:rsidRDefault="000103CD">
            <w:pPr>
              <w:jc w:val="center"/>
              <w:rPr>
                <w:b/>
                <w:color w:val="000000"/>
                <w:sz w:val="20"/>
                <w:szCs w:val="20"/>
              </w:rPr>
            </w:pPr>
            <w:r>
              <w:rPr>
                <w:b/>
                <w:color w:val="000000"/>
                <w:sz w:val="20"/>
                <w:szCs w:val="20"/>
              </w:rPr>
              <w:t>NOMBRES</w:t>
            </w:r>
          </w:p>
        </w:tc>
        <w:tc>
          <w:tcPr>
            <w:tcW w:w="1000" w:type="dxa"/>
            <w:tcBorders>
              <w:top w:val="nil"/>
              <w:left w:val="nil"/>
              <w:bottom w:val="single" w:sz="4" w:space="0" w:color="000000"/>
              <w:right w:val="single" w:sz="4" w:space="0" w:color="000000"/>
            </w:tcBorders>
            <w:shd w:val="clear" w:color="auto" w:fill="E2EFDA"/>
            <w:vAlign w:val="center"/>
          </w:tcPr>
          <w:p w:rsidR="00883971" w:rsidRDefault="000103CD">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FFF2CC"/>
            <w:vAlign w:val="center"/>
          </w:tcPr>
          <w:p w:rsidR="00883971" w:rsidRDefault="000103CD">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FFF2CC"/>
            <w:vAlign w:val="center"/>
          </w:tcPr>
          <w:p w:rsidR="00883971" w:rsidRDefault="000103CD">
            <w:pPr>
              <w:jc w:val="center"/>
              <w:rPr>
                <w:b/>
                <w:color w:val="000000"/>
                <w:sz w:val="20"/>
                <w:szCs w:val="20"/>
              </w:rPr>
            </w:pPr>
            <w:r>
              <w:rPr>
                <w:b/>
                <w:color w:val="000000"/>
                <w:sz w:val="20"/>
                <w:szCs w:val="20"/>
              </w:rPr>
              <w:t>NOMBRES</w:t>
            </w:r>
          </w:p>
        </w:tc>
      </w:tr>
      <w:tr w:rsidR="00883971">
        <w:trPr>
          <w:trHeight w:val="112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b/>
                <w:color w:val="000000"/>
                <w:sz w:val="20"/>
                <w:szCs w:val="20"/>
              </w:rPr>
            </w:pPr>
            <w:r>
              <w:rPr>
                <w:rFonts w:ascii="Play" w:eastAsia="Play" w:hAnsi="Play" w:cs="Play"/>
                <w:b/>
                <w:sz w:val="20"/>
                <w:szCs w:val="20"/>
              </w:rPr>
              <w:t>Razón social 1</w:t>
            </w:r>
          </w:p>
        </w:tc>
        <w:tc>
          <w:tcPr>
            <w:tcW w:w="1000" w:type="dxa"/>
            <w:tcBorders>
              <w:top w:val="single" w:sz="4" w:space="0" w:color="000000"/>
              <w:left w:val="nil"/>
              <w:bottom w:val="single" w:sz="4" w:space="0" w:color="000000"/>
              <w:right w:val="single" w:sz="4" w:space="0" w:color="000000"/>
            </w:tcBorders>
            <w:shd w:val="clear" w:color="auto" w:fill="FCE4D6"/>
            <w:vAlign w:val="center"/>
          </w:tcPr>
          <w:p w:rsidR="00883971" w:rsidRDefault="00883971">
            <w:pP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rsidR="00883971" w:rsidRDefault="00883971">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rsidR="00883971" w:rsidRDefault="00883971">
            <w:pPr>
              <w:jc w:val="center"/>
              <w:rPr>
                <w:color w:val="000000"/>
                <w:sz w:val="20"/>
                <w:szCs w:val="20"/>
              </w:rPr>
            </w:pPr>
          </w:p>
        </w:tc>
        <w:tc>
          <w:tcPr>
            <w:tcW w:w="1803" w:type="dxa"/>
            <w:gridSpan w:val="2"/>
            <w:vMerge w:val="restart"/>
            <w:tcBorders>
              <w:top w:val="single" w:sz="4" w:space="0" w:color="000000"/>
              <w:left w:val="single" w:sz="4" w:space="0" w:color="000000"/>
              <w:right w:val="single" w:sz="4" w:space="0" w:color="000000"/>
            </w:tcBorders>
            <w:shd w:val="clear" w:color="auto" w:fill="FFF2CC"/>
            <w:vAlign w:val="center"/>
          </w:tcPr>
          <w:p w:rsidR="00883971" w:rsidRDefault="000103CD">
            <w:pPr>
              <w:jc w:val="center"/>
              <w:rPr>
                <w:color w:val="000000"/>
                <w:sz w:val="20"/>
                <w:szCs w:val="20"/>
              </w:rPr>
            </w:pPr>
            <w:r>
              <w:rPr>
                <w:color w:val="000000"/>
                <w:sz w:val="20"/>
                <w:szCs w:val="20"/>
              </w:rPr>
              <w:t>No aplica, de acuerdo con lo señalado en el artículo 57 del RGLOSNCP, que señala: "</w:t>
            </w:r>
            <w:r>
              <w:rPr>
                <w:i/>
                <w:color w:val="000000"/>
                <w:sz w:val="20"/>
                <w:szCs w:val="20"/>
              </w:rPr>
              <w:t>Beneficiario Final.- Se entenderá por beneficiario final a la persona natural que efectiva y finalmente a través de</w:t>
            </w:r>
            <w:r>
              <w:rPr>
                <w:i/>
                <w:color w:val="000000"/>
                <w:sz w:val="20"/>
                <w:szCs w:val="20"/>
              </w:rPr>
              <w:br/>
              <w:t>una cadena de propiedad o cualquier otro medio de control</w:t>
            </w:r>
            <w:r>
              <w:rPr>
                <w:i/>
                <w:color w:val="000000"/>
                <w:sz w:val="20"/>
                <w:szCs w:val="20"/>
              </w:rPr>
              <w:t>, posea o controle a una sociedad; y/o la persona natural en</w:t>
            </w:r>
            <w:r>
              <w:rPr>
                <w:i/>
                <w:color w:val="000000"/>
                <w:sz w:val="20"/>
                <w:szCs w:val="20"/>
              </w:rPr>
              <w:br/>
              <w:t>cuyo nombre se realiza una transacción (...)Se excepcionan de la presente disposición las contrataciones por ínfima cuantía.</w:t>
            </w:r>
            <w:r>
              <w:rPr>
                <w:color w:val="000000"/>
                <w:sz w:val="20"/>
                <w:szCs w:val="20"/>
              </w:rPr>
              <w:t>"</w:t>
            </w:r>
          </w:p>
        </w:tc>
      </w:tr>
      <w:tr w:rsidR="00883971">
        <w:trPr>
          <w:trHeight w:val="1462"/>
          <w:jc w:val="center"/>
        </w:trPr>
        <w:tc>
          <w:tcPr>
            <w:tcW w:w="643" w:type="dxa"/>
            <w:tcBorders>
              <w:top w:val="nil"/>
              <w:left w:val="single" w:sz="4" w:space="0" w:color="000000"/>
              <w:bottom w:val="single" w:sz="4" w:space="0" w:color="000000"/>
              <w:right w:val="single" w:sz="4" w:space="0" w:color="000000"/>
            </w:tcBorders>
            <w:shd w:val="clear" w:color="auto" w:fill="auto"/>
            <w:vAlign w:val="center"/>
          </w:tcPr>
          <w:p w:rsidR="00883971" w:rsidRDefault="000103CD">
            <w:pPr>
              <w:jc w:val="center"/>
              <w:rPr>
                <w:b/>
                <w:color w:val="000000"/>
                <w:sz w:val="20"/>
                <w:szCs w:val="20"/>
              </w:rPr>
            </w:pPr>
            <w:r>
              <w:rPr>
                <w:rFonts w:ascii="Play" w:eastAsia="Play" w:hAnsi="Play" w:cs="Play"/>
                <w:b/>
                <w:sz w:val="20"/>
                <w:szCs w:val="20"/>
              </w:rPr>
              <w:t>Razón social 2</w:t>
            </w:r>
          </w:p>
        </w:tc>
        <w:tc>
          <w:tcPr>
            <w:tcW w:w="1000" w:type="dxa"/>
            <w:tcBorders>
              <w:top w:val="nil"/>
              <w:left w:val="nil"/>
              <w:bottom w:val="single" w:sz="4" w:space="0" w:color="000000"/>
              <w:right w:val="single" w:sz="4" w:space="0" w:color="000000"/>
            </w:tcBorders>
            <w:shd w:val="clear" w:color="auto" w:fill="FCE4D6"/>
            <w:vAlign w:val="center"/>
          </w:tcPr>
          <w:p w:rsidR="00883971" w:rsidRDefault="00883971">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rsidR="00883971" w:rsidRDefault="00883971">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rsidR="00883971" w:rsidRDefault="00883971">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rsidR="00883971" w:rsidRDefault="00883971">
            <w:pPr>
              <w:widowControl w:val="0"/>
              <w:pBdr>
                <w:top w:val="nil"/>
                <w:left w:val="nil"/>
                <w:bottom w:val="nil"/>
                <w:right w:val="nil"/>
                <w:between w:val="nil"/>
              </w:pBdr>
              <w:spacing w:line="276" w:lineRule="auto"/>
              <w:rPr>
                <w:color w:val="000000"/>
                <w:sz w:val="20"/>
                <w:szCs w:val="20"/>
              </w:rPr>
            </w:pPr>
          </w:p>
        </w:tc>
      </w:tr>
      <w:tr w:rsidR="00883971">
        <w:trPr>
          <w:trHeight w:val="1462"/>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b/>
                <w:sz w:val="20"/>
                <w:szCs w:val="20"/>
              </w:rPr>
            </w:pPr>
            <w:r>
              <w:rPr>
                <w:rFonts w:ascii="Play" w:eastAsia="Play" w:hAnsi="Play" w:cs="Play"/>
                <w:b/>
                <w:sz w:val="20"/>
                <w:szCs w:val="20"/>
              </w:rPr>
              <w:t>Razón social 3</w:t>
            </w:r>
          </w:p>
        </w:tc>
        <w:tc>
          <w:tcPr>
            <w:tcW w:w="1000" w:type="dxa"/>
            <w:tcBorders>
              <w:top w:val="single" w:sz="4" w:space="0" w:color="000000"/>
              <w:left w:val="nil"/>
              <w:bottom w:val="single" w:sz="4" w:space="0" w:color="000000"/>
              <w:right w:val="single" w:sz="4" w:space="0" w:color="000000"/>
            </w:tcBorders>
            <w:shd w:val="clear" w:color="auto" w:fill="FCE4D6"/>
            <w:vAlign w:val="center"/>
          </w:tcPr>
          <w:p w:rsidR="00883971" w:rsidRDefault="00883971">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rsidR="00883971" w:rsidRDefault="00883971">
            <w:pPr>
              <w:jc w:val="center"/>
              <w:rPr>
                <w:color w:val="000000"/>
                <w:sz w:val="20"/>
                <w:szCs w:val="20"/>
              </w:rPr>
            </w:pPr>
          </w:p>
        </w:tc>
        <w:tc>
          <w:tcPr>
            <w:tcW w:w="2803" w:type="dxa"/>
            <w:gridSpan w:val="3"/>
            <w:tcBorders>
              <w:top w:val="single" w:sz="4" w:space="0" w:color="000000"/>
              <w:left w:val="nil"/>
              <w:right w:val="single" w:sz="4" w:space="0" w:color="000000"/>
            </w:tcBorders>
            <w:shd w:val="clear" w:color="auto" w:fill="E2EFDA"/>
            <w:vAlign w:val="center"/>
          </w:tcPr>
          <w:p w:rsidR="00883971" w:rsidRDefault="00883971">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rsidR="00883971" w:rsidRDefault="00883971">
            <w:pPr>
              <w:widowControl w:val="0"/>
              <w:pBdr>
                <w:top w:val="nil"/>
                <w:left w:val="nil"/>
                <w:bottom w:val="nil"/>
                <w:right w:val="nil"/>
                <w:between w:val="nil"/>
              </w:pBdr>
              <w:spacing w:line="276" w:lineRule="auto"/>
              <w:rPr>
                <w:color w:val="000000"/>
                <w:sz w:val="20"/>
                <w:szCs w:val="20"/>
              </w:rPr>
            </w:pPr>
          </w:p>
        </w:tc>
      </w:tr>
    </w:tbl>
    <w:p w:rsidR="00883971" w:rsidRDefault="00883971">
      <w:pPr>
        <w:jc w:val="both"/>
        <w:rPr>
          <w:rFonts w:ascii="Play" w:eastAsia="Play" w:hAnsi="Play" w:cs="Play"/>
          <w:b/>
          <w:sz w:val="20"/>
          <w:szCs w:val="20"/>
        </w:rPr>
      </w:pP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COMPARATIVO DE LAS PROFORMAS RECIBIDAS</w:t>
      </w:r>
    </w:p>
    <w:p w:rsidR="00883971" w:rsidRDefault="00883971">
      <w:pPr>
        <w:rPr>
          <w:rFonts w:ascii="Play" w:eastAsia="Play" w:hAnsi="Play" w:cs="Play"/>
          <w:sz w:val="20"/>
          <w:szCs w:val="20"/>
        </w:rPr>
      </w:pPr>
    </w:p>
    <w:tbl>
      <w:tblPr>
        <w:tblStyle w:val="a4"/>
        <w:tblW w:w="9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2050"/>
        <w:gridCol w:w="2051"/>
        <w:gridCol w:w="1922"/>
        <w:gridCol w:w="1922"/>
      </w:tblGrid>
      <w:tr w:rsidR="00883971">
        <w:trPr>
          <w:trHeight w:val="281"/>
          <w:jc w:val="center"/>
        </w:trPr>
        <w:tc>
          <w:tcPr>
            <w:tcW w:w="2047" w:type="dxa"/>
            <w:shd w:val="clear" w:color="auto" w:fill="auto"/>
          </w:tcPr>
          <w:p w:rsidR="00883971" w:rsidRDefault="000103CD">
            <w:pPr>
              <w:jc w:val="center"/>
              <w:rPr>
                <w:rFonts w:ascii="Play" w:eastAsia="Play" w:hAnsi="Play" w:cs="Play"/>
                <w:b/>
                <w:sz w:val="20"/>
                <w:szCs w:val="20"/>
              </w:rPr>
            </w:pPr>
            <w:r>
              <w:rPr>
                <w:rFonts w:ascii="Play" w:eastAsia="Play" w:hAnsi="Play" w:cs="Play"/>
                <w:b/>
                <w:sz w:val="20"/>
                <w:szCs w:val="20"/>
              </w:rPr>
              <w:t>ÍTEM SOLICITADO</w:t>
            </w:r>
          </w:p>
        </w:tc>
        <w:tc>
          <w:tcPr>
            <w:tcW w:w="2050" w:type="dxa"/>
            <w:shd w:val="clear" w:color="auto" w:fill="auto"/>
          </w:tcPr>
          <w:p w:rsidR="00883971" w:rsidRDefault="000103CD">
            <w:pPr>
              <w:jc w:val="center"/>
              <w:rPr>
                <w:rFonts w:ascii="Play" w:eastAsia="Play" w:hAnsi="Play" w:cs="Play"/>
                <w:b/>
                <w:sz w:val="20"/>
                <w:szCs w:val="20"/>
              </w:rPr>
            </w:pPr>
            <w:r>
              <w:rPr>
                <w:rFonts w:ascii="Play" w:eastAsia="Play" w:hAnsi="Play" w:cs="Play"/>
                <w:b/>
                <w:sz w:val="20"/>
                <w:szCs w:val="20"/>
              </w:rPr>
              <w:t>Razón social 1</w:t>
            </w:r>
          </w:p>
        </w:tc>
        <w:tc>
          <w:tcPr>
            <w:tcW w:w="2051" w:type="dxa"/>
            <w:shd w:val="clear" w:color="auto" w:fill="auto"/>
          </w:tcPr>
          <w:p w:rsidR="00883971" w:rsidRDefault="000103CD">
            <w:pPr>
              <w:jc w:val="center"/>
              <w:rPr>
                <w:rFonts w:ascii="Play" w:eastAsia="Play" w:hAnsi="Play" w:cs="Play"/>
                <w:b/>
                <w:sz w:val="20"/>
                <w:szCs w:val="20"/>
              </w:rPr>
            </w:pPr>
            <w:r>
              <w:rPr>
                <w:rFonts w:ascii="Play" w:eastAsia="Play" w:hAnsi="Play" w:cs="Play"/>
                <w:b/>
                <w:sz w:val="20"/>
                <w:szCs w:val="20"/>
              </w:rPr>
              <w:t>Razón social 2</w:t>
            </w:r>
          </w:p>
        </w:tc>
        <w:tc>
          <w:tcPr>
            <w:tcW w:w="1922" w:type="dxa"/>
            <w:shd w:val="clear" w:color="auto" w:fill="auto"/>
          </w:tcPr>
          <w:p w:rsidR="00883971" w:rsidRDefault="000103CD">
            <w:pPr>
              <w:jc w:val="center"/>
              <w:rPr>
                <w:rFonts w:ascii="Play" w:eastAsia="Play" w:hAnsi="Play" w:cs="Play"/>
                <w:b/>
                <w:sz w:val="20"/>
                <w:szCs w:val="20"/>
              </w:rPr>
            </w:pPr>
            <w:r>
              <w:rPr>
                <w:rFonts w:ascii="Play" w:eastAsia="Play" w:hAnsi="Play" w:cs="Play"/>
                <w:b/>
                <w:sz w:val="20"/>
                <w:szCs w:val="20"/>
              </w:rPr>
              <w:t>Razón social 3</w:t>
            </w:r>
          </w:p>
        </w:tc>
        <w:tc>
          <w:tcPr>
            <w:tcW w:w="1922" w:type="dxa"/>
          </w:tcPr>
          <w:p w:rsidR="00883971" w:rsidRDefault="00883971">
            <w:pPr>
              <w:jc w:val="center"/>
              <w:rPr>
                <w:rFonts w:ascii="Play" w:eastAsia="Play" w:hAnsi="Play" w:cs="Play"/>
                <w:b/>
                <w:sz w:val="20"/>
                <w:szCs w:val="20"/>
              </w:rPr>
            </w:pPr>
          </w:p>
        </w:tc>
      </w:tr>
      <w:tr w:rsidR="00883971">
        <w:trPr>
          <w:trHeight w:val="1320"/>
          <w:jc w:val="center"/>
        </w:trPr>
        <w:tc>
          <w:tcPr>
            <w:tcW w:w="2047" w:type="dxa"/>
            <w:shd w:val="clear" w:color="auto" w:fill="auto"/>
          </w:tcPr>
          <w:p w:rsidR="00883971" w:rsidRDefault="000103CD">
            <w:pPr>
              <w:jc w:val="center"/>
              <w:rPr>
                <w:rFonts w:ascii="Play" w:eastAsia="Play" w:hAnsi="Play" w:cs="Play"/>
                <w:sz w:val="20"/>
                <w:szCs w:val="20"/>
              </w:rPr>
            </w:pPr>
            <w:r>
              <w:rPr>
                <w:rFonts w:ascii="Play" w:eastAsia="Play" w:hAnsi="Play" w:cs="Play"/>
                <w:sz w:val="20"/>
                <w:szCs w:val="20"/>
                <w:highlight w:val="green"/>
              </w:rPr>
              <w:t>XXXXXXXX</w:t>
            </w:r>
          </w:p>
        </w:tc>
        <w:tc>
          <w:tcPr>
            <w:tcW w:w="2050" w:type="dxa"/>
            <w:shd w:val="clear" w:color="auto" w:fill="auto"/>
          </w:tcPr>
          <w:p w:rsidR="00883971" w:rsidRDefault="000103CD">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2051" w:type="dxa"/>
            <w:shd w:val="clear" w:color="auto" w:fill="auto"/>
          </w:tcPr>
          <w:p w:rsidR="00883971" w:rsidRDefault="000103CD">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shd w:val="clear" w:color="auto" w:fill="auto"/>
          </w:tcPr>
          <w:p w:rsidR="00883971" w:rsidRDefault="000103CD">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Plazo de entrega</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Forma de pago</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Garantía (de ser el caso)</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Vigencia de la oferta</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Experiencia Específica del oferente</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Experiencia General del oferente</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Personal Técnico</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Experiencia del Personal Técnico</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Metodología de construcción</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Anexo UAFE</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Anexo Vinculación con ESPOL</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Anexo Vinculación Específica entre oferentes</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Presupuesto referencial</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r w:rsidR="00883971">
        <w:trPr>
          <w:trHeight w:val="281"/>
          <w:jc w:val="center"/>
        </w:trPr>
        <w:tc>
          <w:tcPr>
            <w:tcW w:w="2047" w:type="dxa"/>
            <w:shd w:val="clear" w:color="auto" w:fill="auto"/>
          </w:tcPr>
          <w:p w:rsidR="00883971" w:rsidRDefault="000103CD">
            <w:pPr>
              <w:jc w:val="both"/>
              <w:rPr>
                <w:rFonts w:ascii="Play" w:eastAsia="Play" w:hAnsi="Play" w:cs="Play"/>
                <w:b/>
                <w:sz w:val="20"/>
                <w:szCs w:val="20"/>
              </w:rPr>
            </w:pPr>
            <w:r>
              <w:rPr>
                <w:rFonts w:ascii="Play" w:eastAsia="Play" w:hAnsi="Play" w:cs="Play"/>
                <w:b/>
                <w:sz w:val="20"/>
                <w:szCs w:val="20"/>
              </w:rPr>
              <w:t>Resultado Final: Cumple/No Cumple</w:t>
            </w:r>
          </w:p>
        </w:tc>
        <w:tc>
          <w:tcPr>
            <w:tcW w:w="2050" w:type="dxa"/>
            <w:shd w:val="clear" w:color="auto" w:fill="auto"/>
          </w:tcPr>
          <w:p w:rsidR="00883971" w:rsidRDefault="00883971">
            <w:pPr>
              <w:jc w:val="both"/>
              <w:rPr>
                <w:rFonts w:ascii="Play" w:eastAsia="Play" w:hAnsi="Play" w:cs="Play"/>
                <w:sz w:val="20"/>
                <w:szCs w:val="20"/>
              </w:rPr>
            </w:pPr>
          </w:p>
        </w:tc>
        <w:tc>
          <w:tcPr>
            <w:tcW w:w="2051" w:type="dxa"/>
            <w:shd w:val="clear" w:color="auto" w:fill="auto"/>
          </w:tcPr>
          <w:p w:rsidR="00883971" w:rsidRDefault="00883971">
            <w:pPr>
              <w:jc w:val="both"/>
              <w:rPr>
                <w:rFonts w:ascii="Play" w:eastAsia="Play" w:hAnsi="Play" w:cs="Play"/>
                <w:sz w:val="20"/>
                <w:szCs w:val="20"/>
              </w:rPr>
            </w:pPr>
          </w:p>
        </w:tc>
        <w:tc>
          <w:tcPr>
            <w:tcW w:w="1922" w:type="dxa"/>
            <w:shd w:val="clear" w:color="auto" w:fill="auto"/>
          </w:tcPr>
          <w:p w:rsidR="00883971" w:rsidRDefault="00883971">
            <w:pPr>
              <w:jc w:val="both"/>
              <w:rPr>
                <w:rFonts w:ascii="Play" w:eastAsia="Play" w:hAnsi="Play" w:cs="Play"/>
                <w:sz w:val="20"/>
                <w:szCs w:val="20"/>
              </w:rPr>
            </w:pPr>
          </w:p>
        </w:tc>
        <w:tc>
          <w:tcPr>
            <w:tcW w:w="1922" w:type="dxa"/>
          </w:tcPr>
          <w:p w:rsidR="00883971" w:rsidRDefault="00883971">
            <w:pPr>
              <w:jc w:val="both"/>
              <w:rPr>
                <w:rFonts w:ascii="Play" w:eastAsia="Play" w:hAnsi="Play" w:cs="Play"/>
                <w:sz w:val="20"/>
                <w:szCs w:val="20"/>
              </w:rPr>
            </w:pPr>
          </w:p>
        </w:tc>
      </w:tr>
    </w:tbl>
    <w:p w:rsidR="00883971" w:rsidRDefault="00883971">
      <w:pPr>
        <w:jc w:val="both"/>
        <w:rPr>
          <w:rFonts w:ascii="Play" w:eastAsia="Play" w:hAnsi="Play" w:cs="Play"/>
          <w:b/>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ANÁLISIS DE MEJOR VALOR POR DINERO</w:t>
      </w: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pStyle w:val="Subttulo"/>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7.1.- Bienes y/o servicios a contratarse estandarizados </w:t>
      </w:r>
    </w:p>
    <w:p w:rsidR="00883971" w:rsidRDefault="000103CD">
      <w:r>
        <w:t>No aplica, debido a que la naturaleza de la presente contratación es una obra.</w:t>
      </w:r>
    </w:p>
    <w:p w:rsidR="00883971" w:rsidRDefault="00883971">
      <w:pPr>
        <w:ind w:right="-336"/>
        <w:rPr>
          <w:rFonts w:ascii="Arial" w:eastAsia="Arial" w:hAnsi="Arial" w:cs="Arial"/>
          <w:sz w:val="22"/>
          <w:szCs w:val="22"/>
          <w:highlight w:val="yellow"/>
        </w:rPr>
      </w:pPr>
    </w:p>
    <w:p w:rsidR="00883971" w:rsidRDefault="000103CD">
      <w:pPr>
        <w:pStyle w:val="Subttulo"/>
        <w:spacing w:after="0"/>
        <w:ind w:right="-336"/>
        <w:jc w:val="both"/>
        <w:rPr>
          <w:rFonts w:ascii="Arial" w:eastAsia="Arial" w:hAnsi="Arial" w:cs="Arial"/>
          <w:b/>
          <w:color w:val="000000"/>
          <w:sz w:val="22"/>
          <w:szCs w:val="22"/>
          <w:highlight w:val="white"/>
        </w:rPr>
      </w:pPr>
      <w:r>
        <w:rPr>
          <w:rFonts w:ascii="Arial" w:eastAsia="Arial" w:hAnsi="Arial" w:cs="Arial"/>
          <w:b/>
          <w:color w:val="000000"/>
          <w:sz w:val="22"/>
          <w:szCs w:val="22"/>
          <w:highlight w:val="white"/>
        </w:rPr>
        <w:t xml:space="preserve">7.2.- Mercado Competitivo </w:t>
      </w:r>
    </w:p>
    <w:p w:rsidR="00883971" w:rsidRDefault="00883971">
      <w:pPr>
        <w:ind w:right="-336"/>
        <w:rPr>
          <w:rFonts w:ascii="Arial" w:eastAsia="Arial" w:hAnsi="Arial" w:cs="Arial"/>
          <w:sz w:val="22"/>
          <w:szCs w:val="22"/>
        </w:rPr>
      </w:pPr>
    </w:p>
    <w:p w:rsidR="00883971" w:rsidRDefault="000103CD">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w:t>
      </w:r>
      <w:r>
        <w:rPr>
          <w:rFonts w:ascii="Arial" w:eastAsia="Arial" w:hAnsi="Arial" w:cs="Arial"/>
          <w:color w:val="000000"/>
          <w:sz w:val="22"/>
          <w:szCs w:val="22"/>
          <w:highlight w:val="yellow"/>
        </w:rPr>
        <w:t>e garanticen que el mismo será competitivo; y,</w:t>
      </w:r>
    </w:p>
    <w:p w:rsidR="00883971" w:rsidRDefault="00883971">
      <w:pPr>
        <w:ind w:right="-336"/>
        <w:jc w:val="both"/>
        <w:rPr>
          <w:rFonts w:ascii="Arial" w:eastAsia="Arial" w:hAnsi="Arial" w:cs="Arial"/>
          <w:color w:val="000000"/>
          <w:sz w:val="22"/>
          <w:szCs w:val="22"/>
          <w:highlight w:val="white"/>
        </w:rPr>
      </w:pPr>
    </w:p>
    <w:p w:rsidR="00883971" w:rsidRDefault="000103CD">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rsidR="00883971" w:rsidRDefault="00883971">
      <w:pPr>
        <w:ind w:right="-336"/>
        <w:jc w:val="both"/>
        <w:rPr>
          <w:rFonts w:ascii="Arial" w:eastAsia="Arial" w:hAnsi="Arial" w:cs="Arial"/>
          <w:color w:val="000000"/>
          <w:sz w:val="22"/>
          <w:szCs w:val="22"/>
          <w:highlight w:val="green"/>
        </w:rPr>
      </w:pPr>
    </w:p>
    <w:p w:rsidR="00883971" w:rsidRDefault="000103CD">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 las proformas recibidas se puede evidenciar que existe proveedores previsiblemente cualificados para participar en el presente proceso de contratación, que garantizan que el mismo será competitivo.</w:t>
      </w:r>
    </w:p>
    <w:p w:rsidR="00883971" w:rsidRDefault="00883971">
      <w:pPr>
        <w:ind w:right="-336"/>
        <w:jc w:val="both"/>
        <w:rPr>
          <w:rFonts w:ascii="Arial" w:eastAsia="Arial" w:hAnsi="Arial" w:cs="Arial"/>
          <w:color w:val="000000"/>
          <w:sz w:val="22"/>
          <w:szCs w:val="22"/>
          <w:highlight w:val="green"/>
        </w:rPr>
      </w:pPr>
    </w:p>
    <w:p w:rsidR="00883971" w:rsidRDefault="00883971">
      <w:pPr>
        <w:ind w:right="-336"/>
        <w:jc w:val="both"/>
        <w:rPr>
          <w:rFonts w:ascii="Arial" w:eastAsia="Arial" w:hAnsi="Arial" w:cs="Arial"/>
          <w:color w:val="000000"/>
          <w:sz w:val="22"/>
          <w:szCs w:val="22"/>
          <w:highlight w:val="green"/>
        </w:rPr>
      </w:pPr>
    </w:p>
    <w:p w:rsidR="00883971" w:rsidRDefault="000103CD">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w:t>
      </w:r>
      <w:r>
        <w:rPr>
          <w:rFonts w:ascii="Arial" w:eastAsia="Arial" w:hAnsi="Arial" w:cs="Arial"/>
          <w:color w:val="000000"/>
          <w:sz w:val="22"/>
          <w:szCs w:val="22"/>
          <w:highlight w:val="green"/>
        </w:rPr>
        <w:t>o. Esta pluralidad de oferentes demuestra que el mercado es competitivo, permitiendo que el proceso se desarrolle con transparencia y permita la concurrencia de oferentes.</w:t>
      </w:r>
    </w:p>
    <w:p w:rsidR="00883971" w:rsidRDefault="00883971">
      <w:pPr>
        <w:ind w:right="-336"/>
        <w:jc w:val="both"/>
        <w:rPr>
          <w:rFonts w:ascii="Arial" w:eastAsia="Arial" w:hAnsi="Arial" w:cs="Arial"/>
          <w:color w:val="000000"/>
          <w:sz w:val="22"/>
          <w:szCs w:val="22"/>
          <w:highlight w:val="green"/>
        </w:rPr>
      </w:pPr>
    </w:p>
    <w:p w:rsidR="00883971" w:rsidRDefault="000103CD">
      <w:pPr>
        <w:pBdr>
          <w:top w:val="nil"/>
          <w:left w:val="nil"/>
          <w:bottom w:val="nil"/>
          <w:right w:val="nil"/>
          <w:between w:val="nil"/>
        </w:pBdr>
        <w:jc w:val="both"/>
        <w:rPr>
          <w:rFonts w:ascii="Play" w:eastAsia="Play" w:hAnsi="Play" w:cs="Play"/>
          <w:b/>
          <w:color w:val="000000"/>
          <w:sz w:val="20"/>
          <w:szCs w:val="20"/>
        </w:rPr>
      </w:pPr>
      <w:r>
        <w:rPr>
          <w:rFonts w:ascii="Arial" w:eastAsia="Arial" w:hAnsi="Arial" w:cs="Arial"/>
          <w:color w:val="000000"/>
          <w:sz w:val="22"/>
          <w:szCs w:val="22"/>
          <w:highlight w:val="green"/>
        </w:rPr>
        <w:t>(Adjuntar captura de pantalla del Portal del SERCOP que evidencie la cantidad de pr</w:t>
      </w:r>
      <w:r>
        <w:rPr>
          <w:rFonts w:ascii="Arial" w:eastAsia="Arial" w:hAnsi="Arial" w:cs="Arial"/>
          <w:color w:val="000000"/>
          <w:sz w:val="22"/>
          <w:szCs w:val="22"/>
          <w:highlight w:val="green"/>
        </w:rPr>
        <w:t>oveedores habilitados para el CPC correspondiente)</w:t>
      </w: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pStyle w:val="Subttulo"/>
        <w:ind w:right="-336"/>
        <w:jc w:val="both"/>
        <w:rPr>
          <w:rFonts w:ascii="Arial" w:eastAsia="Arial" w:hAnsi="Arial" w:cs="Arial"/>
          <w:color w:val="000000"/>
          <w:sz w:val="22"/>
          <w:szCs w:val="22"/>
          <w:highlight w:val="white"/>
        </w:rPr>
      </w:pPr>
      <w:r>
        <w:rPr>
          <w:rFonts w:ascii="Arial" w:eastAsia="Arial" w:hAnsi="Arial" w:cs="Arial"/>
          <w:b/>
          <w:color w:val="000000"/>
          <w:sz w:val="22"/>
          <w:szCs w:val="22"/>
          <w:highlight w:val="white"/>
        </w:rPr>
        <w:t>7.3.- Existencia de riesgos y/o necesidad de priorizar atributos distintos al precio de los bienes y/o servicios a adquirirse</w:t>
      </w:r>
      <w:r>
        <w:rPr>
          <w:rFonts w:ascii="Arial" w:eastAsia="Arial" w:hAnsi="Arial" w:cs="Arial"/>
          <w:color w:val="000000"/>
          <w:sz w:val="22"/>
          <w:szCs w:val="22"/>
          <w:highlight w:val="white"/>
        </w:rPr>
        <w:t xml:space="preserve"> </w:t>
      </w:r>
    </w:p>
    <w:p w:rsidR="00883971" w:rsidRDefault="00883971">
      <w:pPr>
        <w:ind w:right="-336"/>
        <w:rPr>
          <w:rFonts w:ascii="Arial" w:eastAsia="Arial" w:hAnsi="Arial" w:cs="Arial"/>
          <w:sz w:val="22"/>
          <w:szCs w:val="22"/>
        </w:rPr>
      </w:pPr>
    </w:p>
    <w:p w:rsidR="00883971" w:rsidRDefault="000103CD">
      <w:pPr>
        <w:ind w:right="-336"/>
        <w:rPr>
          <w:rFonts w:ascii="Arial" w:eastAsia="Arial" w:hAnsi="Arial" w:cs="Arial"/>
          <w:sz w:val="22"/>
          <w:szCs w:val="22"/>
        </w:rPr>
      </w:pPr>
      <w:r>
        <w:rPr>
          <w:rFonts w:ascii="Arial" w:eastAsia="Arial" w:hAnsi="Arial" w:cs="Arial"/>
          <w:sz w:val="22"/>
          <w:szCs w:val="22"/>
        </w:rPr>
        <w:t>Ejemplo:</w:t>
      </w:r>
    </w:p>
    <w:p w:rsidR="00883971" w:rsidRDefault="00883971">
      <w:pPr>
        <w:pBdr>
          <w:top w:val="nil"/>
          <w:left w:val="nil"/>
          <w:bottom w:val="nil"/>
          <w:right w:val="nil"/>
          <w:between w:val="nil"/>
        </w:pBdr>
        <w:ind w:right="-336"/>
        <w:jc w:val="both"/>
        <w:rPr>
          <w:rFonts w:ascii="Arial" w:eastAsia="Arial" w:hAnsi="Arial" w:cs="Arial"/>
          <w:color w:val="000000"/>
          <w:sz w:val="22"/>
          <w:szCs w:val="22"/>
          <w:highlight w:val="green"/>
        </w:rPr>
      </w:pPr>
    </w:p>
    <w:p w:rsidR="00883971" w:rsidRDefault="000103CD">
      <w:pPr>
        <w:pBdr>
          <w:top w:val="nil"/>
          <w:left w:val="nil"/>
          <w:bottom w:val="nil"/>
          <w:right w:val="nil"/>
          <w:between w:val="nil"/>
        </w:pBd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conformidad con lo establecido en el numeral 6 del artículo 149</w:t>
      </w:r>
      <w:r>
        <w:rPr>
          <w:rFonts w:ascii="Arial" w:eastAsia="Arial" w:hAnsi="Arial" w:cs="Arial"/>
          <w:color w:val="000000"/>
          <w:sz w:val="22"/>
          <w:szCs w:val="22"/>
          <w:highlight w:val="green"/>
        </w:rPr>
        <w:t xml:space="preserve"> del RGLOSNCP,  donde indica que con las proformas presentadas, la entidad contratante de forma directa seleccionará al proveedor que cumpla con el mejor costo y dado que las especificaciones técnicas de la obra son claras y comparables, disponibles en el </w:t>
      </w:r>
      <w:r>
        <w:rPr>
          <w:rFonts w:ascii="Arial" w:eastAsia="Arial" w:hAnsi="Arial" w:cs="Arial"/>
          <w:color w:val="000000"/>
          <w:sz w:val="22"/>
          <w:szCs w:val="22"/>
          <w:highlight w:val="green"/>
        </w:rPr>
        <w:t xml:space="preserve">mercado, con características definidas y fáciles de verificar al momento de la recepción, </w:t>
      </w:r>
      <w:r>
        <w:rPr>
          <w:rFonts w:ascii="Arial" w:eastAsia="Arial" w:hAnsi="Arial" w:cs="Arial"/>
          <w:b/>
          <w:color w:val="000000"/>
          <w:sz w:val="22"/>
          <w:szCs w:val="22"/>
          <w:highlight w:val="green"/>
        </w:rPr>
        <w:t xml:space="preserve">no se identifica la necesidad de priorizar atributos distintos </w:t>
      </w:r>
      <w:r>
        <w:rPr>
          <w:rFonts w:ascii="Arial" w:eastAsia="Arial" w:hAnsi="Arial" w:cs="Arial"/>
          <w:color w:val="000000"/>
          <w:sz w:val="22"/>
          <w:szCs w:val="22"/>
          <w:highlight w:val="green"/>
        </w:rPr>
        <w:t>al precio, ya que este representa adecuadamente el mejor valor por dinero en esta contratación.</w:t>
      </w:r>
    </w:p>
    <w:p w:rsidR="00883971" w:rsidRDefault="00883971">
      <w:pPr>
        <w:pBdr>
          <w:top w:val="nil"/>
          <w:left w:val="nil"/>
          <w:bottom w:val="nil"/>
          <w:right w:val="nil"/>
          <w:between w:val="nil"/>
        </w:pBdr>
        <w:ind w:right="-336"/>
        <w:jc w:val="both"/>
        <w:rPr>
          <w:rFonts w:ascii="Arial" w:eastAsia="Arial" w:hAnsi="Arial" w:cs="Arial"/>
          <w:color w:val="000000"/>
          <w:sz w:val="22"/>
          <w:szCs w:val="22"/>
          <w:highlight w:val="green"/>
        </w:rPr>
      </w:pP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 xml:space="preserve">SUSTENTO LEGAL </w:t>
      </w:r>
    </w:p>
    <w:p w:rsidR="00883971" w:rsidRDefault="00883971">
      <w:pPr>
        <w:pBdr>
          <w:top w:val="nil"/>
          <w:left w:val="nil"/>
          <w:bottom w:val="nil"/>
          <w:right w:val="nil"/>
          <w:between w:val="nil"/>
        </w:pBdr>
        <w:jc w:val="both"/>
        <w:rPr>
          <w:rFonts w:ascii="Play" w:eastAsia="Play" w:hAnsi="Play" w:cs="Play"/>
          <w:i/>
          <w:color w:val="000000"/>
          <w:sz w:val="20"/>
          <w:szCs w:val="20"/>
        </w:rPr>
      </w:pPr>
    </w:p>
    <w:p w:rsidR="00883971" w:rsidRDefault="000103CD">
      <w:pPr>
        <w:pBdr>
          <w:top w:val="nil"/>
          <w:left w:val="nil"/>
          <w:bottom w:val="nil"/>
          <w:right w:val="nil"/>
          <w:between w:val="nil"/>
        </w:pBdr>
        <w:jc w:val="both"/>
        <w:rPr>
          <w:rFonts w:ascii="Play" w:eastAsia="Play" w:hAnsi="Play" w:cs="Play"/>
          <w:color w:val="000000"/>
          <w:sz w:val="20"/>
          <w:szCs w:val="20"/>
        </w:rPr>
      </w:pPr>
      <w:r>
        <w:rPr>
          <w:rFonts w:ascii="Play" w:eastAsia="Play" w:hAnsi="Play" w:cs="Play"/>
          <w:color w:val="000000"/>
          <w:sz w:val="20"/>
          <w:szCs w:val="20"/>
        </w:rPr>
        <w:t>Ley Orgánica del Sistema Nacional de Contratación Pública</w:t>
      </w:r>
    </w:p>
    <w:p w:rsidR="00883971" w:rsidRDefault="00883971">
      <w:pPr>
        <w:pBdr>
          <w:top w:val="nil"/>
          <w:left w:val="nil"/>
          <w:bottom w:val="nil"/>
          <w:right w:val="nil"/>
          <w:between w:val="nil"/>
        </w:pBdr>
        <w:jc w:val="both"/>
        <w:rPr>
          <w:rFonts w:ascii="Play" w:eastAsia="Play" w:hAnsi="Play" w:cs="Play"/>
          <w:i/>
          <w:color w:val="000000"/>
          <w:sz w:val="20"/>
          <w:szCs w:val="20"/>
        </w:rPr>
      </w:pPr>
      <w:bookmarkStart w:id="2" w:name="_heading=h.pztg52oyo3ir" w:colFirst="0" w:colLast="0"/>
      <w:bookmarkEnd w:id="2"/>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“Art. 52.1. - Contrataciones de ínfima cuantía. - Se podrá contratar bajo esta modalidad las contrataciones para la adquisición de bienes o prestación de servicios, incluidos los de consultoría, o </w:t>
      </w:r>
      <w:r>
        <w:rPr>
          <w:rFonts w:ascii="Play" w:eastAsia="Play" w:hAnsi="Play" w:cs="Play"/>
          <w:b/>
          <w:i/>
          <w:color w:val="000000"/>
          <w:sz w:val="18"/>
          <w:szCs w:val="18"/>
        </w:rPr>
        <w:t>contrataciones de obra</w:t>
      </w:r>
      <w:r>
        <w:rPr>
          <w:rFonts w:ascii="Play" w:eastAsia="Play" w:hAnsi="Play" w:cs="Play"/>
          <w:i/>
          <w:color w:val="000000"/>
          <w:sz w:val="18"/>
          <w:szCs w:val="18"/>
        </w:rPr>
        <w:t xml:space="preserve"> </w:t>
      </w:r>
      <w:r>
        <w:rPr>
          <w:rFonts w:ascii="Play" w:eastAsia="Play" w:hAnsi="Play" w:cs="Play"/>
          <w:b/>
          <w:i/>
          <w:color w:val="000000"/>
          <w:sz w:val="18"/>
          <w:szCs w:val="18"/>
        </w:rPr>
        <w:t xml:space="preserve">cuya cuantía sea igual o inferior a </w:t>
      </w:r>
      <w:r>
        <w:rPr>
          <w:rFonts w:ascii="Play" w:eastAsia="Play" w:hAnsi="Play" w:cs="Play"/>
          <w:b/>
          <w:i/>
          <w:color w:val="000000"/>
          <w:sz w:val="18"/>
          <w:szCs w:val="18"/>
        </w:rPr>
        <w:t>diez mil dólares de los Estados Unidos de América (USD $10.000)</w:t>
      </w:r>
      <w:r>
        <w:rPr>
          <w:rFonts w:ascii="Play" w:eastAsia="Play" w:hAnsi="Play" w:cs="Play"/>
          <w:i/>
          <w:color w:val="000000"/>
          <w:sz w:val="18"/>
          <w:szCs w:val="18"/>
        </w:rPr>
        <w:t>; siempre que no consten en el Catálogo Electrónico.</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El Reglamento de la presente Ley establecerá el procedimiento aplicable, incluyendo el aviso público que se deberá realizar; así como, las </w:t>
      </w:r>
      <w:r>
        <w:rPr>
          <w:rFonts w:ascii="Play" w:eastAsia="Play" w:hAnsi="Play" w:cs="Play"/>
          <w:i/>
          <w:color w:val="000000"/>
          <w:sz w:val="18"/>
          <w:szCs w:val="18"/>
        </w:rPr>
        <w:t>excepciones a las que podrán acogerse las entidades contratantes para realizar contrataciones por ínfima cuantía durante el mismo ejercicio fiscal respecto de un mismo objeto contractual.</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Estas contrataciones no podrán emplearse como medio de evasión de l</w:t>
      </w:r>
      <w:r>
        <w:rPr>
          <w:rFonts w:ascii="Play" w:eastAsia="Play" w:hAnsi="Play" w:cs="Play"/>
          <w:i/>
          <w:color w:val="000000"/>
          <w:sz w:val="18"/>
          <w:szCs w:val="18"/>
        </w:rPr>
        <w:t>os procedimientos precontractuales, o como una contratación constante y recurrente durante el ejercicio fiscal o para subdividir contratos, lo cual será verificado y regulado por el SERCOP con la finalidad de detectar subdivisión de contratos o cualquier e</w:t>
      </w:r>
      <w:r>
        <w:rPr>
          <w:rFonts w:ascii="Play" w:eastAsia="Play" w:hAnsi="Play" w:cs="Play"/>
          <w:i/>
          <w:color w:val="000000"/>
          <w:sz w:val="18"/>
          <w:szCs w:val="18"/>
        </w:rPr>
        <w:t>vasión o incumplimiento de los fines de esta modalidad, en cuyo caso será puesto en conocimiento de la Contraloría General del Estado para que inicie las acciones pertinentes.”.</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jc w:val="both"/>
        <w:rPr>
          <w:rFonts w:ascii="Play" w:eastAsia="Play" w:hAnsi="Play" w:cs="Play"/>
          <w:sz w:val="20"/>
          <w:szCs w:val="20"/>
        </w:rPr>
      </w:pPr>
      <w:r>
        <w:rPr>
          <w:rFonts w:ascii="Play" w:eastAsia="Play" w:hAnsi="Play" w:cs="Play"/>
          <w:sz w:val="20"/>
          <w:szCs w:val="20"/>
        </w:rPr>
        <w:t>Reglamento General de la Ley Orgánica del Sistema Nacional de Contratación Pública</w:t>
      </w:r>
    </w:p>
    <w:p w:rsidR="00883971" w:rsidRDefault="00883971">
      <w:pPr>
        <w:jc w:val="both"/>
        <w:rPr>
          <w:rFonts w:ascii="Play" w:eastAsia="Play" w:hAnsi="Play" w:cs="Play"/>
          <w:i/>
          <w:sz w:val="20"/>
          <w:szCs w:val="20"/>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rPr>
        <w:t>“</w:t>
      </w:r>
      <w:r>
        <w:rPr>
          <w:rFonts w:ascii="Play" w:eastAsia="Play" w:hAnsi="Play" w:cs="Play"/>
          <w:i/>
          <w:color w:val="000000"/>
          <w:sz w:val="18"/>
          <w:szCs w:val="18"/>
        </w:rPr>
        <w:t>Art. 49.- Determinación del presupuesto referencial. - Las entidades contratantes deberán contar con un presupuesto</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referencial apegado a la realidad de mercado al momento</w:t>
      </w:r>
      <w:r>
        <w:rPr>
          <w:rFonts w:ascii="Play" w:eastAsia="Play" w:hAnsi="Play" w:cs="Play"/>
          <w:i/>
          <w:color w:val="000000"/>
          <w:sz w:val="18"/>
          <w:szCs w:val="18"/>
        </w:rPr>
        <w:t xml:space="preserve"> de publicar sus procedimientos de contratación</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Los instrumentos de determinación del presupuesto referencial serán los siguientes:</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1.</w:t>
      </w:r>
      <w:r>
        <w:rPr>
          <w:rFonts w:ascii="Play" w:eastAsia="Play" w:hAnsi="Play" w:cs="Play"/>
          <w:i/>
          <w:color w:val="000000"/>
          <w:sz w:val="18"/>
          <w:szCs w:val="18"/>
        </w:rPr>
        <w:tab/>
        <w:t xml:space="preserve">Estudio de mercado: Para el caso de adquisición de bienes y prestación de servicios, el cual deberá contener mínimo lo </w:t>
      </w:r>
      <w:r>
        <w:rPr>
          <w:rFonts w:ascii="Play" w:eastAsia="Play" w:hAnsi="Play" w:cs="Play"/>
          <w:i/>
          <w:color w:val="000000"/>
          <w:sz w:val="18"/>
          <w:szCs w:val="18"/>
        </w:rPr>
        <w:t>siguiente:</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 e) Las entidades contratantes procurarán contar con al menos tres proformas, las cuales podrán ser obtenidas a través de la herramienta de "Necesidades de contratación y recepción de proformas", y deberán contar con fecha de emisión, plazo </w:t>
      </w:r>
      <w:r>
        <w:rPr>
          <w:rFonts w:ascii="Play" w:eastAsia="Play" w:hAnsi="Play" w:cs="Play"/>
          <w:i/>
          <w:color w:val="000000"/>
          <w:sz w:val="18"/>
          <w:szCs w:val="18"/>
        </w:rPr>
        <w:t>de ejecución y tiempo de vigencia. (…).”</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En aquellos bienes o servicios con precio oficial fijado por el Gobierno Nacional mediante Decreto Ejecutivo o algún otro mecanismo legalmente reconocido para el efecto, no será aplicable la metodología para l</w:t>
      </w:r>
      <w:r>
        <w:rPr>
          <w:rFonts w:ascii="Play" w:eastAsia="Play" w:hAnsi="Play" w:cs="Play"/>
          <w:i/>
          <w:color w:val="000000"/>
          <w:sz w:val="18"/>
          <w:szCs w:val="18"/>
        </w:rPr>
        <w:t>a determinación de presupuesto referencial. (…)”</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 </w:t>
      </w:r>
      <w:r>
        <w:rPr>
          <w:rFonts w:ascii="Play" w:eastAsia="Play" w:hAnsi="Play" w:cs="Play"/>
          <w:b/>
          <w:i/>
          <w:color w:val="000000"/>
          <w:sz w:val="18"/>
          <w:szCs w:val="18"/>
        </w:rPr>
        <w:t>En los procedimientos de ínfima cuantía, el instrumento de determinación del presupuesto referencial deberá cumplir únicamente lo establecido en el numeral 1.e del presente artículo</w:t>
      </w:r>
      <w:r>
        <w:rPr>
          <w:rFonts w:ascii="Play" w:eastAsia="Play" w:hAnsi="Play" w:cs="Play"/>
          <w:i/>
          <w:color w:val="000000"/>
          <w:sz w:val="18"/>
          <w:szCs w:val="18"/>
        </w:rPr>
        <w:t xml:space="preserve">, </w:t>
      </w:r>
      <w:r>
        <w:rPr>
          <w:rFonts w:ascii="Play" w:eastAsia="Play" w:hAnsi="Play" w:cs="Play"/>
          <w:b/>
          <w:i/>
          <w:color w:val="000000"/>
          <w:sz w:val="18"/>
          <w:szCs w:val="18"/>
        </w:rPr>
        <w:t>y se entenderá efe</w:t>
      </w:r>
      <w:r>
        <w:rPr>
          <w:rFonts w:ascii="Play" w:eastAsia="Play" w:hAnsi="Play" w:cs="Play"/>
          <w:b/>
          <w:i/>
          <w:color w:val="000000"/>
          <w:sz w:val="18"/>
          <w:szCs w:val="18"/>
        </w:rPr>
        <w:t>ctuado una vez cumplido lo señalado en el artículo 149 del presente Reglamento (…)”</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“Art. 50.- Monto del presupuesto referencial. - El presupuesto referencial se utilizará para determinar el procedimiento de contratación a seguir, valor que no deberá incl</w:t>
      </w:r>
      <w:r>
        <w:rPr>
          <w:rFonts w:ascii="Play" w:eastAsia="Play" w:hAnsi="Play" w:cs="Play"/>
          <w:i/>
          <w:color w:val="000000"/>
          <w:sz w:val="18"/>
          <w:szCs w:val="18"/>
        </w:rPr>
        <w:t xml:space="preserve">uir impuestos.” </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“Art. 149.- Contrataciones de ínfima cuantía. - El procedimiento de ínfima cuantía será el siguiente:</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1. La unidad requirente de la entidad contratante justificará el requerimiento y levantará las especificaciones técnicas o términos de referencia a contratarse;</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2. Serán autorizadas por la máxima autoridad o su delegado;</w:t>
      </w:r>
    </w:p>
    <w:p w:rsidR="00883971" w:rsidRDefault="000103CD">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i/>
          <w:color w:val="000000"/>
          <w:sz w:val="18"/>
          <w:szCs w:val="18"/>
        </w:rPr>
        <w:t>3. No será necesaria la elaboración</w:t>
      </w:r>
      <w:r>
        <w:rPr>
          <w:rFonts w:ascii="Play" w:eastAsia="Play" w:hAnsi="Play" w:cs="Play"/>
          <w:i/>
          <w:color w:val="000000"/>
          <w:sz w:val="18"/>
          <w:szCs w:val="18"/>
        </w:rPr>
        <w:t xml:space="preserve"> del pliego, tampoco será necesario la publicación en el PAC. </w:t>
      </w:r>
      <w:r>
        <w:rPr>
          <w:rFonts w:ascii="Play" w:eastAsia="Play" w:hAnsi="Play" w:cs="Play"/>
          <w:b/>
          <w:i/>
          <w:color w:val="000000"/>
          <w:sz w:val="18"/>
          <w:szCs w:val="18"/>
        </w:rPr>
        <w:t>El estudio de mercado se considerará efectuado al realizar lo previsto en el numeral 6 de este artículo</w:t>
      </w:r>
      <w:r>
        <w:rPr>
          <w:rFonts w:ascii="Play" w:eastAsia="Play" w:hAnsi="Play" w:cs="Play"/>
          <w:i/>
          <w:color w:val="000000"/>
          <w:sz w:val="18"/>
          <w:szCs w:val="18"/>
        </w:rPr>
        <w:t xml:space="preserve">, </w:t>
      </w:r>
      <w:r>
        <w:rPr>
          <w:rFonts w:ascii="Play" w:eastAsia="Play" w:hAnsi="Play" w:cs="Play"/>
          <w:b/>
          <w:i/>
          <w:color w:val="000000"/>
          <w:sz w:val="18"/>
          <w:szCs w:val="18"/>
        </w:rPr>
        <w:t>y será en ese momento del procedimiento en donde se requiera la certificación presupuesta</w:t>
      </w:r>
      <w:r>
        <w:rPr>
          <w:rFonts w:ascii="Play" w:eastAsia="Play" w:hAnsi="Play" w:cs="Play"/>
          <w:b/>
          <w:i/>
          <w:color w:val="000000"/>
          <w:sz w:val="18"/>
          <w:szCs w:val="18"/>
        </w:rPr>
        <w:t>ria;</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4. La entidad contratante procederá a publicar, en la herramienta informática habilitada por el Servicio Nacional de Contratación Pública, un aviso público con lo que requiere contratar por ínfima cuantía, así como la información de contacto y término</w:t>
      </w:r>
      <w:r>
        <w:rPr>
          <w:rFonts w:ascii="Play" w:eastAsia="Play" w:hAnsi="Play" w:cs="Play"/>
          <w:i/>
          <w:color w:val="000000"/>
          <w:sz w:val="18"/>
          <w:szCs w:val="18"/>
        </w:rPr>
        <w:t xml:space="preserve"> para la presentación de proformas. Incluirá además el proyecto de orden de compra a ser emitido, con base en el modelo obligatorio desarrollado por el Servicio Nacional de Contratación Pública. La entidad fijará el tiempo mínimo que deberá tener vigencia </w:t>
      </w:r>
      <w:r>
        <w:rPr>
          <w:rFonts w:ascii="Play" w:eastAsia="Play" w:hAnsi="Play" w:cs="Play"/>
          <w:i/>
          <w:color w:val="000000"/>
          <w:sz w:val="18"/>
          <w:szCs w:val="18"/>
        </w:rPr>
        <w:t>la proforma;</w:t>
      </w:r>
    </w:p>
    <w:p w:rsidR="00883971" w:rsidRDefault="000103CD">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i/>
          <w:color w:val="000000"/>
          <w:sz w:val="18"/>
          <w:szCs w:val="18"/>
        </w:rPr>
        <w:t xml:space="preserve">5. El proveedor interesado remitirá su proforma a la entidad contratante dentro del término establecido. La entidad contratante sentará una razón de las proformas recibidas. </w:t>
      </w:r>
      <w:r>
        <w:rPr>
          <w:rFonts w:ascii="Play" w:eastAsia="Play" w:hAnsi="Play" w:cs="Play"/>
          <w:b/>
          <w:i/>
          <w:color w:val="000000"/>
          <w:sz w:val="18"/>
          <w:szCs w:val="18"/>
        </w:rPr>
        <w:t>La proforma tendrá los efectos de la oferta;</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b/>
          <w:i/>
          <w:color w:val="000000"/>
          <w:sz w:val="18"/>
          <w:szCs w:val="18"/>
        </w:rPr>
        <w:t>6. Con las proformas presentadas, la entidad contratante de forma directa seleccionará al proveedor que cumpla con el mejor costo, conforme lo dispuesto en el presente Reglamento,</w:t>
      </w:r>
      <w:r>
        <w:rPr>
          <w:rFonts w:ascii="Play" w:eastAsia="Play" w:hAnsi="Play" w:cs="Play"/>
          <w:i/>
          <w:color w:val="000000"/>
          <w:sz w:val="18"/>
          <w:szCs w:val="18"/>
        </w:rPr>
        <w:t xml:space="preserve"> verificando que el proveedor no se encuentre incurso en inhabilidades o proh</w:t>
      </w:r>
      <w:r>
        <w:rPr>
          <w:rFonts w:ascii="Play" w:eastAsia="Play" w:hAnsi="Play" w:cs="Play"/>
          <w:i/>
          <w:color w:val="000000"/>
          <w:sz w:val="18"/>
          <w:szCs w:val="18"/>
        </w:rPr>
        <w:t>ibiciones para celebrar contratos con el Estado;</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7.- Con el proveedor seleccionado se suscribirá la respectiva orden de compra y se dará inicio a su ejecución, conforme a las condiciones establecidas en la misma;</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8. Para la ejecución de la orden de compra,</w:t>
      </w:r>
      <w:r>
        <w:rPr>
          <w:rFonts w:ascii="Play" w:eastAsia="Play" w:hAnsi="Play" w:cs="Play"/>
          <w:i/>
          <w:color w:val="000000"/>
          <w:sz w:val="18"/>
          <w:szCs w:val="18"/>
        </w:rPr>
        <w:t xml:space="preserve"> se aplicará la normativa prevista para los contratos en general;</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9. Una vez emitida la orden de compra, la información de la contratación por ínfima cuantía deberá ser reportada obligatoriamente en el término máximo de cinco (5) días en el Portal de Contr</w:t>
      </w:r>
      <w:r>
        <w:rPr>
          <w:rFonts w:ascii="Play" w:eastAsia="Play" w:hAnsi="Play" w:cs="Play"/>
          <w:i/>
          <w:color w:val="000000"/>
          <w:sz w:val="18"/>
          <w:szCs w:val="18"/>
        </w:rPr>
        <w:t>atación Pública.”.</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“Art. 150.1.- Casos especiales de bienes y/o servicios. - Las entidades contratantes </w:t>
      </w:r>
      <w:r>
        <w:rPr>
          <w:rFonts w:ascii="Play" w:eastAsia="Play" w:hAnsi="Play" w:cs="Play"/>
          <w:i/>
          <w:color w:val="000000"/>
          <w:sz w:val="18"/>
          <w:szCs w:val="18"/>
          <w:u w:val="single"/>
        </w:rPr>
        <w:t>podrán realizar varias ínfimas cuantías en el ejercicio fiscal de los mismos bienes y/o servicios, pudiendo exceder la sumatoria de todas estas contrat</w:t>
      </w:r>
      <w:r>
        <w:rPr>
          <w:rFonts w:ascii="Play" w:eastAsia="Play" w:hAnsi="Play" w:cs="Play"/>
          <w:i/>
          <w:color w:val="000000"/>
          <w:sz w:val="18"/>
          <w:szCs w:val="18"/>
          <w:u w:val="single"/>
        </w:rPr>
        <w:t>aciones, el valor de diez mil dólares de los Estados Unidos de América (USD $10.000), exclusivamente en los siguientes casos:</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1. Los alimentos y bebidas destinados a la alimentación humana y animal, de unidades civiles, policiales o militares, ubicadas en</w:t>
      </w:r>
      <w:r>
        <w:rPr>
          <w:rFonts w:ascii="Play" w:eastAsia="Play" w:hAnsi="Play" w:cs="Play"/>
          <w:i/>
          <w:color w:val="000000"/>
          <w:sz w:val="18"/>
          <w:szCs w:val="18"/>
        </w:rPr>
        <w:t xml:space="preserve"> circunscripciones rurales o fronterizas;</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2. La adquisición de combustibles en operaciones de la entidad, cuyo monto mensual no podrá superar la cuantía establecida para los procedimientos de ínfima cuantía;</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u w:val="single"/>
        </w:rPr>
      </w:pPr>
      <w:r>
        <w:rPr>
          <w:rFonts w:ascii="Play" w:eastAsia="Play" w:hAnsi="Play" w:cs="Play"/>
          <w:i/>
          <w:color w:val="000000"/>
          <w:sz w:val="18"/>
          <w:szCs w:val="18"/>
          <w:u w:val="single"/>
        </w:rPr>
        <w:t>3. La adquisición de repuestos o accesorios, siempre que por razones de oportunidad no sea posible emplear el procedimiento de Régimen Especial regulado en el presente Reglamento General; y,</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4. Cuando, por deficiencia en la planificación de la entidad con</w:t>
      </w:r>
      <w:r>
        <w:rPr>
          <w:rFonts w:ascii="Play" w:eastAsia="Play" w:hAnsi="Play" w:cs="Play"/>
          <w:i/>
          <w:color w:val="000000"/>
          <w:sz w:val="18"/>
          <w:szCs w:val="18"/>
        </w:rPr>
        <w:t>tratante, se requiera adquirir bienes y/o servicios, distintos a los detallados en los numerales precedentes, sobre los cuales ya se ejecutaron contrataciones de ínfima cuantía en el respectivo periodo fiscal, conforme el artículo 150 del presente Reglamen</w:t>
      </w:r>
      <w:r>
        <w:rPr>
          <w:rFonts w:ascii="Play" w:eastAsia="Play" w:hAnsi="Play" w:cs="Play"/>
          <w:i/>
          <w:color w:val="000000"/>
          <w:sz w:val="18"/>
          <w:szCs w:val="18"/>
        </w:rPr>
        <w:t xml:space="preserve">to. Esto último, sin perjuicio de las responsabilidades administrativas, civiles y/o penales a que hubiere lugar en caso de que los órganos de control competentes determinen la existencia de subdivisión de contratos que afecte a los principios y objetivos </w:t>
      </w:r>
      <w:r>
        <w:rPr>
          <w:rFonts w:ascii="Play" w:eastAsia="Play" w:hAnsi="Play" w:cs="Play"/>
          <w:i/>
          <w:color w:val="000000"/>
          <w:sz w:val="18"/>
          <w:szCs w:val="18"/>
        </w:rPr>
        <w:t>prioritarios del Estado en materia de contratación pública.</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b/>
          <w:i/>
          <w:color w:val="000000"/>
          <w:sz w:val="18"/>
          <w:szCs w:val="18"/>
        </w:rPr>
        <w:t>Art. 150.2.- Casos especiales para la investigación responsable</w:t>
      </w:r>
      <w:r>
        <w:rPr>
          <w:rFonts w:ascii="Play" w:eastAsia="Play" w:hAnsi="Play" w:cs="Play"/>
          <w:i/>
          <w:color w:val="000000"/>
          <w:sz w:val="18"/>
          <w:szCs w:val="18"/>
        </w:rPr>
        <w:t xml:space="preserve">. - De conformidad con el artículo 66 del Código Orgánico de la Economía Social de los Conocimientos, Creatividad e Innovación, las </w:t>
      </w:r>
      <w:r>
        <w:rPr>
          <w:rFonts w:ascii="Play" w:eastAsia="Play" w:hAnsi="Play" w:cs="Play"/>
          <w:i/>
          <w:color w:val="000000"/>
          <w:sz w:val="18"/>
          <w:szCs w:val="18"/>
        </w:rPr>
        <w:t xml:space="preserve">universidades; </w:t>
      </w:r>
      <w:r>
        <w:rPr>
          <w:rFonts w:ascii="Play" w:eastAsia="Play" w:hAnsi="Play" w:cs="Play"/>
          <w:b/>
          <w:i/>
          <w:color w:val="000000"/>
          <w:sz w:val="18"/>
          <w:szCs w:val="18"/>
        </w:rPr>
        <w:t>escuelas politécnicas públicas</w:t>
      </w:r>
      <w:r>
        <w:rPr>
          <w:rFonts w:ascii="Play" w:eastAsia="Play" w:hAnsi="Play" w:cs="Play"/>
          <w:i/>
          <w:color w:val="000000"/>
          <w:sz w:val="18"/>
          <w:szCs w:val="18"/>
        </w:rPr>
        <w:t xml:space="preserve">; institutos superiores técnicos, tecnológicos, pedagógicos, de artes públicos y conservatorios superiores públicos; y, los institutos públicos de investigación </w:t>
      </w:r>
      <w:r>
        <w:rPr>
          <w:rFonts w:ascii="Play" w:eastAsia="Play" w:hAnsi="Play" w:cs="Play"/>
          <w:b/>
          <w:i/>
          <w:color w:val="000000"/>
          <w:sz w:val="18"/>
          <w:szCs w:val="18"/>
        </w:rPr>
        <w:t>podrán realizar varias ínfimas cuantías en el año</w:t>
      </w:r>
      <w:r>
        <w:rPr>
          <w:rFonts w:ascii="Play" w:eastAsia="Play" w:hAnsi="Play" w:cs="Play"/>
          <w:i/>
          <w:color w:val="000000"/>
          <w:sz w:val="18"/>
          <w:szCs w:val="18"/>
        </w:rPr>
        <w:t xml:space="preserve"> </w:t>
      </w:r>
      <w:r>
        <w:rPr>
          <w:rFonts w:ascii="Play" w:eastAsia="Play" w:hAnsi="Play" w:cs="Play"/>
          <w:i/>
          <w:color w:val="000000"/>
          <w:sz w:val="18"/>
          <w:szCs w:val="18"/>
        </w:rPr>
        <w:t xml:space="preserve">pudiendo exceder la sumatoria de todas estas contrataciones el valor de diez mil dólares de los Estados Unidos de América (USD $10.000), </w:t>
      </w:r>
      <w:r>
        <w:rPr>
          <w:rFonts w:ascii="Play" w:eastAsia="Play" w:hAnsi="Play" w:cs="Play"/>
          <w:b/>
          <w:i/>
          <w:color w:val="000000"/>
          <w:sz w:val="18"/>
          <w:szCs w:val="18"/>
        </w:rPr>
        <w:t>en los siguientes casos:</w:t>
      </w:r>
    </w:p>
    <w:p w:rsidR="00883971" w:rsidRDefault="00883971">
      <w:pPr>
        <w:pBdr>
          <w:top w:val="nil"/>
          <w:left w:val="nil"/>
          <w:bottom w:val="nil"/>
          <w:right w:val="nil"/>
          <w:between w:val="nil"/>
        </w:pBdr>
        <w:ind w:left="708"/>
        <w:jc w:val="both"/>
        <w:rPr>
          <w:rFonts w:ascii="Play" w:eastAsia="Play" w:hAnsi="Play" w:cs="Play"/>
          <w:i/>
          <w:color w:val="000000"/>
          <w:sz w:val="18"/>
          <w:szCs w:val="18"/>
        </w:rPr>
      </w:pPr>
    </w:p>
    <w:p w:rsidR="00883971" w:rsidRDefault="000103CD">
      <w:pPr>
        <w:pBdr>
          <w:top w:val="nil"/>
          <w:left w:val="nil"/>
          <w:bottom w:val="nil"/>
          <w:right w:val="nil"/>
          <w:between w:val="nil"/>
        </w:pBdr>
        <w:ind w:left="708"/>
        <w:jc w:val="both"/>
        <w:rPr>
          <w:rFonts w:ascii="Play" w:eastAsia="Play" w:hAnsi="Play" w:cs="Play"/>
          <w:b/>
          <w:i/>
          <w:color w:val="000000"/>
          <w:sz w:val="18"/>
          <w:szCs w:val="18"/>
        </w:rPr>
      </w:pPr>
      <w:r>
        <w:rPr>
          <w:rFonts w:ascii="Play" w:eastAsia="Play" w:hAnsi="Play" w:cs="Play"/>
          <w:i/>
          <w:color w:val="000000"/>
          <w:sz w:val="18"/>
          <w:szCs w:val="18"/>
        </w:rPr>
        <w:t xml:space="preserve">1. Las </w:t>
      </w:r>
      <w:r>
        <w:rPr>
          <w:rFonts w:ascii="Play" w:eastAsia="Play" w:hAnsi="Play" w:cs="Play"/>
          <w:b/>
          <w:i/>
          <w:color w:val="000000"/>
          <w:sz w:val="18"/>
          <w:szCs w:val="18"/>
        </w:rPr>
        <w:t>contrataciones de servicios y/o adquisición de bienes para realizar actividades tendie</w:t>
      </w:r>
      <w:r>
        <w:rPr>
          <w:rFonts w:ascii="Play" w:eastAsia="Play" w:hAnsi="Play" w:cs="Play"/>
          <w:b/>
          <w:i/>
          <w:color w:val="000000"/>
          <w:sz w:val="18"/>
          <w:szCs w:val="18"/>
        </w:rPr>
        <w:t>ntes a la investigación científica responsable</w:t>
      </w:r>
      <w:r>
        <w:rPr>
          <w:rFonts w:ascii="Play" w:eastAsia="Play" w:hAnsi="Play" w:cs="Play"/>
          <w:i/>
          <w:color w:val="000000"/>
          <w:sz w:val="18"/>
          <w:szCs w:val="18"/>
        </w:rPr>
        <w:t xml:space="preserve">, procesos investigativos pedagógicos, el desarrollo tecnológico y </w:t>
      </w:r>
      <w:r>
        <w:rPr>
          <w:rFonts w:ascii="Play" w:eastAsia="Play" w:hAnsi="Play" w:cs="Play"/>
          <w:b/>
          <w:i/>
          <w:color w:val="000000"/>
          <w:sz w:val="18"/>
          <w:szCs w:val="18"/>
        </w:rPr>
        <w:t>adquisición de insumos de laboratorio.</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2. La adquisición de bienes o servicios en el extranjero a través de compras en líneas o tiendas virtual</w:t>
      </w:r>
      <w:r>
        <w:rPr>
          <w:rFonts w:ascii="Play" w:eastAsia="Play" w:hAnsi="Play" w:cs="Play"/>
          <w:i/>
          <w:color w:val="000000"/>
          <w:sz w:val="18"/>
          <w:szCs w:val="18"/>
        </w:rPr>
        <w:t>es. Estas contrataciones estarán exoneradas del procedimiento de verificación de no existencia de producción u oferta nacional y la autorización de licencias de importación para la contratación pública de bienes importados.</w:t>
      </w:r>
    </w:p>
    <w:p w:rsidR="00883971" w:rsidRDefault="000103CD">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3. Las contrataciones de servici</w:t>
      </w:r>
      <w:r>
        <w:rPr>
          <w:rFonts w:ascii="Play" w:eastAsia="Play" w:hAnsi="Play" w:cs="Play"/>
          <w:i/>
          <w:color w:val="000000"/>
          <w:sz w:val="18"/>
          <w:szCs w:val="18"/>
        </w:rPr>
        <w:t>os de courier nacional para la importación de bienes y/o servicios adquiridos a través de tiendas virtuales; y, servicio de courier nacional o internacional para el envío de muestras derivadas de proyectos de investigación científica.</w:t>
      </w:r>
    </w:p>
    <w:p w:rsidR="00883971" w:rsidRDefault="000103CD">
      <w:pPr>
        <w:ind w:left="708"/>
        <w:jc w:val="both"/>
        <w:rPr>
          <w:rFonts w:ascii="Play" w:eastAsia="Play" w:hAnsi="Play" w:cs="Play"/>
          <w:i/>
          <w:sz w:val="18"/>
          <w:szCs w:val="18"/>
        </w:rPr>
      </w:pPr>
      <w:r>
        <w:rPr>
          <w:rFonts w:ascii="Play" w:eastAsia="Play" w:hAnsi="Play" w:cs="Play"/>
          <w:i/>
          <w:sz w:val="18"/>
          <w:szCs w:val="18"/>
        </w:rPr>
        <w:t>Art. 152.- Uso de her</w:t>
      </w:r>
      <w:r>
        <w:rPr>
          <w:rFonts w:ascii="Play" w:eastAsia="Play" w:hAnsi="Play" w:cs="Play"/>
          <w:i/>
          <w:sz w:val="18"/>
          <w:szCs w:val="18"/>
        </w:rPr>
        <w:t xml:space="preserve">ramienta. - </w:t>
      </w:r>
      <w:r>
        <w:rPr>
          <w:rFonts w:ascii="Play" w:eastAsia="Play" w:hAnsi="Play" w:cs="Play"/>
          <w:b/>
          <w:i/>
          <w:sz w:val="18"/>
          <w:szCs w:val="18"/>
        </w:rPr>
        <w:t>En todas las contrataciones</w:t>
      </w:r>
      <w:r>
        <w:rPr>
          <w:rFonts w:ascii="Play" w:eastAsia="Play" w:hAnsi="Play" w:cs="Play"/>
          <w:i/>
          <w:sz w:val="18"/>
          <w:szCs w:val="18"/>
        </w:rPr>
        <w:t xml:space="preserve"> que se efectúen por el procedimiento </w:t>
      </w:r>
      <w:r>
        <w:rPr>
          <w:rFonts w:ascii="Play" w:eastAsia="Play" w:hAnsi="Play" w:cs="Play"/>
          <w:b/>
          <w:i/>
          <w:sz w:val="18"/>
          <w:szCs w:val="18"/>
        </w:rPr>
        <w:t>de ínfima cuantía</w:t>
      </w:r>
      <w:r>
        <w:rPr>
          <w:rFonts w:ascii="Play" w:eastAsia="Play" w:hAnsi="Play" w:cs="Play"/>
          <w:i/>
          <w:sz w:val="18"/>
          <w:szCs w:val="18"/>
        </w:rPr>
        <w:t>, previo al inicio de la misma, las entidades contratantes deberán contar con la determinación de la necesidad del objeto de contratación, especificaciones técnicas o términos de referencia.</w:t>
      </w:r>
    </w:p>
    <w:p w:rsidR="00883971" w:rsidRDefault="00883971">
      <w:pPr>
        <w:ind w:left="708"/>
        <w:jc w:val="both"/>
        <w:rPr>
          <w:rFonts w:ascii="Play" w:eastAsia="Play" w:hAnsi="Play" w:cs="Play"/>
          <w:i/>
          <w:sz w:val="18"/>
          <w:szCs w:val="18"/>
        </w:rPr>
      </w:pPr>
    </w:p>
    <w:p w:rsidR="00883971" w:rsidRDefault="000103CD">
      <w:pPr>
        <w:ind w:left="708"/>
        <w:jc w:val="both"/>
        <w:rPr>
          <w:rFonts w:ascii="Play" w:eastAsia="Play" w:hAnsi="Play" w:cs="Play"/>
          <w:i/>
          <w:sz w:val="18"/>
          <w:szCs w:val="18"/>
        </w:rPr>
      </w:pPr>
      <w:r>
        <w:rPr>
          <w:rFonts w:ascii="Play" w:eastAsia="Play" w:hAnsi="Play" w:cs="Play"/>
          <w:i/>
          <w:sz w:val="18"/>
          <w:szCs w:val="18"/>
        </w:rPr>
        <w:t>Una vez cumplido el inciso anterior</w:t>
      </w:r>
      <w:r>
        <w:rPr>
          <w:rFonts w:ascii="Play" w:eastAsia="Play" w:hAnsi="Play" w:cs="Play"/>
          <w:b/>
          <w:i/>
          <w:sz w:val="18"/>
          <w:szCs w:val="18"/>
        </w:rPr>
        <w:t>, la entidad contratante dará inicio a la selección del proveedor, con la publicación del objeto de la contratación en la herramienta, "Necesidades Ínfimas Cuantías</w:t>
      </w:r>
      <w:r>
        <w:rPr>
          <w:rFonts w:ascii="Play" w:eastAsia="Play" w:hAnsi="Play" w:cs="Play"/>
          <w:i/>
          <w:sz w:val="18"/>
          <w:szCs w:val="18"/>
        </w:rPr>
        <w:t xml:space="preserve">", que se encuentra disponible en el Portal de Contratación Pública, cuya utilización es de </w:t>
      </w:r>
      <w:r>
        <w:rPr>
          <w:rFonts w:ascii="Play" w:eastAsia="Play" w:hAnsi="Play" w:cs="Play"/>
          <w:i/>
          <w:sz w:val="18"/>
          <w:szCs w:val="18"/>
        </w:rPr>
        <w:t xml:space="preserve">carácter obligatorio. Se procurará que las entidades contratantes obtengan mínimo tres proformas, que servirán para realizar el respectivo instrumento de determinación del presupuesto referencial. </w:t>
      </w:r>
      <w:r>
        <w:rPr>
          <w:rFonts w:ascii="Play" w:eastAsia="Play" w:hAnsi="Play" w:cs="Play"/>
          <w:b/>
          <w:i/>
          <w:sz w:val="18"/>
          <w:szCs w:val="18"/>
        </w:rPr>
        <w:t>En el caso de que no sea posible contar con ese número míni</w:t>
      </w:r>
      <w:r>
        <w:rPr>
          <w:rFonts w:ascii="Play" w:eastAsia="Play" w:hAnsi="Play" w:cs="Play"/>
          <w:b/>
          <w:i/>
          <w:sz w:val="18"/>
          <w:szCs w:val="18"/>
        </w:rPr>
        <w:t>mo, la entidad contratante bajo su responsabilidad podrá continuar con el procedimiento, incluso si hubiere recibido una sola proforma. (…)”</w:t>
      </w:r>
    </w:p>
    <w:p w:rsidR="00883971" w:rsidRDefault="00883971">
      <w:pPr>
        <w:rPr>
          <w:rFonts w:ascii="Play" w:eastAsia="Play" w:hAnsi="Play" w:cs="Play"/>
          <w:i/>
          <w:sz w:val="18"/>
          <w:szCs w:val="18"/>
        </w:rPr>
      </w:pPr>
    </w:p>
    <w:p w:rsidR="00883971" w:rsidRDefault="000103CD">
      <w:pPr>
        <w:tabs>
          <w:tab w:val="left" w:pos="3510"/>
        </w:tabs>
        <w:jc w:val="both"/>
        <w:rPr>
          <w:rFonts w:ascii="Play" w:eastAsia="Play" w:hAnsi="Play" w:cs="Play"/>
          <w:sz w:val="20"/>
          <w:szCs w:val="20"/>
          <w:highlight w:val="yellow"/>
        </w:rPr>
      </w:pPr>
      <w:r>
        <w:rPr>
          <w:rFonts w:ascii="Play" w:eastAsia="Play" w:hAnsi="Play" w:cs="Play"/>
          <w:sz w:val="20"/>
          <w:szCs w:val="20"/>
          <w:highlight w:val="yellow"/>
        </w:rPr>
        <w:t>(SI SE CUENTA CON MENOS DE TRES PROFORMAS DEBE IR EL SIGUIENTE TEXTO)</w:t>
      </w:r>
    </w:p>
    <w:p w:rsidR="00883971" w:rsidRDefault="00883971">
      <w:pPr>
        <w:tabs>
          <w:tab w:val="left" w:pos="3510"/>
        </w:tabs>
        <w:jc w:val="both"/>
        <w:rPr>
          <w:rFonts w:ascii="Play" w:eastAsia="Play" w:hAnsi="Play" w:cs="Play"/>
          <w:i/>
          <w:sz w:val="20"/>
          <w:szCs w:val="20"/>
          <w:highlight w:val="yellow"/>
        </w:rPr>
      </w:pPr>
    </w:p>
    <w:p w:rsidR="00883971" w:rsidRDefault="000103CD">
      <w:pPr>
        <w:jc w:val="both"/>
        <w:rPr>
          <w:rFonts w:ascii="Play" w:eastAsia="Play" w:hAnsi="Play" w:cs="Play"/>
          <w:b/>
          <w:sz w:val="20"/>
          <w:szCs w:val="20"/>
          <w:highlight w:val="yellow"/>
        </w:rPr>
      </w:pPr>
      <w:r>
        <w:rPr>
          <w:rFonts w:ascii="Play" w:eastAsia="Play" w:hAnsi="Play" w:cs="Play"/>
          <w:b/>
          <w:sz w:val="20"/>
          <w:szCs w:val="20"/>
          <w:highlight w:val="yellow"/>
        </w:rPr>
        <w:t>Constitución de la República del Ecuador:</w:t>
      </w:r>
    </w:p>
    <w:p w:rsidR="00883971" w:rsidRDefault="00883971">
      <w:pPr>
        <w:jc w:val="both"/>
        <w:rPr>
          <w:rFonts w:ascii="Play" w:eastAsia="Play" w:hAnsi="Play" w:cs="Play"/>
          <w:sz w:val="20"/>
          <w:szCs w:val="20"/>
          <w:highlight w:val="yellow"/>
        </w:rPr>
      </w:pPr>
    </w:p>
    <w:p w:rsidR="00883971" w:rsidRDefault="000103CD">
      <w:pPr>
        <w:ind w:left="708"/>
        <w:jc w:val="both"/>
        <w:rPr>
          <w:rFonts w:ascii="Play" w:eastAsia="Play" w:hAnsi="Play" w:cs="Play"/>
          <w:i/>
          <w:sz w:val="18"/>
          <w:szCs w:val="18"/>
          <w:highlight w:val="yellow"/>
        </w:rPr>
      </w:pPr>
      <w:r>
        <w:rPr>
          <w:rFonts w:ascii="Play" w:eastAsia="Play" w:hAnsi="Play" w:cs="Play"/>
          <w:i/>
          <w:sz w:val="18"/>
          <w:szCs w:val="18"/>
          <w:highlight w:val="yellow"/>
        </w:rPr>
        <w:t>“Art. 425.- El orden jerárquico de aplicación de las normas será el siguiente: La Constitución; los tratados y convenios internacionales; las leyes orgánicas; las leyes ordinarias; las normas regionales y las ordenanzas distritales; los decretos y reglamen</w:t>
      </w:r>
      <w:r>
        <w:rPr>
          <w:rFonts w:ascii="Play" w:eastAsia="Play" w:hAnsi="Play" w:cs="Play"/>
          <w:i/>
          <w:sz w:val="18"/>
          <w:szCs w:val="18"/>
          <w:highlight w:val="yellow"/>
        </w:rPr>
        <w:t>tos; las ordenanzas; los acuerdos y las resoluciones; y los demás actos y decisiones de los poderes públicos.”</w:t>
      </w:r>
    </w:p>
    <w:p w:rsidR="00883971" w:rsidRDefault="00883971">
      <w:pPr>
        <w:jc w:val="both"/>
        <w:rPr>
          <w:rFonts w:ascii="Play" w:eastAsia="Play" w:hAnsi="Play" w:cs="Play"/>
          <w:sz w:val="20"/>
          <w:szCs w:val="20"/>
          <w:highlight w:val="yellow"/>
        </w:rPr>
      </w:pPr>
    </w:p>
    <w:p w:rsidR="00883971" w:rsidRDefault="000103CD">
      <w:pPr>
        <w:jc w:val="both"/>
        <w:rPr>
          <w:rFonts w:ascii="Play" w:eastAsia="Play" w:hAnsi="Play" w:cs="Play"/>
          <w:b/>
          <w:sz w:val="20"/>
          <w:szCs w:val="20"/>
          <w:highlight w:val="yellow"/>
        </w:rPr>
      </w:pPr>
      <w:r>
        <w:rPr>
          <w:rFonts w:ascii="Play" w:eastAsia="Play" w:hAnsi="Play" w:cs="Play"/>
          <w:b/>
          <w:sz w:val="20"/>
          <w:szCs w:val="20"/>
          <w:highlight w:val="yellow"/>
        </w:rPr>
        <w:t>Código Orgánico Administrativo:</w:t>
      </w:r>
    </w:p>
    <w:p w:rsidR="00883971" w:rsidRDefault="00883971">
      <w:pPr>
        <w:jc w:val="both"/>
        <w:rPr>
          <w:rFonts w:ascii="Play" w:eastAsia="Play" w:hAnsi="Play" w:cs="Play"/>
          <w:sz w:val="20"/>
          <w:szCs w:val="20"/>
          <w:highlight w:val="yellow"/>
        </w:rPr>
      </w:pPr>
    </w:p>
    <w:p w:rsidR="00883971" w:rsidRDefault="000103CD">
      <w:pPr>
        <w:ind w:left="708"/>
        <w:jc w:val="both"/>
        <w:rPr>
          <w:rFonts w:ascii="Play" w:eastAsia="Play" w:hAnsi="Play" w:cs="Play"/>
          <w:i/>
          <w:sz w:val="18"/>
          <w:szCs w:val="18"/>
          <w:highlight w:val="yellow"/>
        </w:rPr>
      </w:pPr>
      <w:r>
        <w:rPr>
          <w:rFonts w:ascii="Play" w:eastAsia="Play" w:hAnsi="Play" w:cs="Play"/>
          <w:i/>
          <w:sz w:val="18"/>
          <w:szCs w:val="18"/>
          <w:highlight w:val="yellow"/>
        </w:rPr>
        <w:t>“Art. 18.- Principio de interdicción de la arbitrariedad. Los organismos que conforman el sector público, deber</w:t>
      </w:r>
      <w:r>
        <w:rPr>
          <w:rFonts w:ascii="Play" w:eastAsia="Play" w:hAnsi="Play" w:cs="Play"/>
          <w:i/>
          <w:sz w:val="18"/>
          <w:szCs w:val="18"/>
          <w:highlight w:val="yellow"/>
        </w:rPr>
        <w:t>án emitir sus actos conforme a los principios de juridicidad e igualdad y no podrán realizar interpretaciones arbitrarias.</w:t>
      </w:r>
    </w:p>
    <w:p w:rsidR="00883971" w:rsidRDefault="000103CD">
      <w:pPr>
        <w:ind w:left="708"/>
        <w:jc w:val="both"/>
        <w:rPr>
          <w:rFonts w:ascii="Play" w:eastAsia="Play" w:hAnsi="Play" w:cs="Play"/>
          <w:i/>
          <w:sz w:val="18"/>
          <w:szCs w:val="18"/>
          <w:highlight w:val="yellow"/>
        </w:rPr>
      </w:pPr>
      <w:r>
        <w:rPr>
          <w:rFonts w:ascii="Play" w:eastAsia="Play" w:hAnsi="Play" w:cs="Play"/>
          <w:i/>
          <w:sz w:val="18"/>
          <w:szCs w:val="18"/>
          <w:highlight w:val="yellow"/>
        </w:rPr>
        <w:t>El ejercicio de las potestades discrecionales, observará los derechos individuales, el deber de motivación y la debida razonabilidad.</w:t>
      </w:r>
      <w:r>
        <w:rPr>
          <w:rFonts w:ascii="Play" w:eastAsia="Play" w:hAnsi="Play" w:cs="Play"/>
          <w:i/>
          <w:sz w:val="18"/>
          <w:szCs w:val="18"/>
          <w:highlight w:val="yellow"/>
        </w:rPr>
        <w:t>”</w:t>
      </w:r>
    </w:p>
    <w:p w:rsidR="00883971" w:rsidRDefault="000103CD">
      <w:pPr>
        <w:jc w:val="both"/>
        <w:rPr>
          <w:rFonts w:ascii="Play" w:eastAsia="Play" w:hAnsi="Play" w:cs="Play"/>
          <w:sz w:val="20"/>
          <w:szCs w:val="20"/>
          <w:highlight w:val="yellow"/>
        </w:rPr>
      </w:pPr>
      <w:r>
        <w:rPr>
          <w:rFonts w:ascii="Play" w:eastAsia="Play" w:hAnsi="Play" w:cs="Play"/>
          <w:sz w:val="20"/>
          <w:szCs w:val="20"/>
          <w:highlight w:val="yellow"/>
        </w:rPr>
        <w:tab/>
      </w:r>
    </w:p>
    <w:p w:rsidR="00883971" w:rsidRDefault="000103CD">
      <w:pPr>
        <w:spacing w:line="276" w:lineRule="auto"/>
        <w:jc w:val="both"/>
        <w:rPr>
          <w:rFonts w:ascii="Play" w:eastAsia="Play" w:hAnsi="Play" w:cs="Play"/>
          <w:color w:val="000000"/>
          <w:sz w:val="20"/>
          <w:szCs w:val="20"/>
          <w:highlight w:val="white"/>
        </w:rPr>
      </w:pPr>
      <w:r>
        <w:rPr>
          <w:rFonts w:ascii="Play" w:eastAsia="Play" w:hAnsi="Play" w:cs="Play"/>
          <w:color w:val="000000"/>
          <w:sz w:val="20"/>
          <w:szCs w:val="20"/>
          <w:highlight w:val="yellow"/>
        </w:rPr>
        <w:t xml:space="preserve">Por lo antes expuesto, considerando las normas legales citadas, se deja sentado que </w:t>
      </w:r>
      <w:r>
        <w:rPr>
          <w:rFonts w:ascii="Play" w:eastAsia="Play" w:hAnsi="Play" w:cs="Play"/>
          <w:color w:val="000000"/>
          <w:sz w:val="20"/>
          <w:szCs w:val="20"/>
          <w:highlight w:val="yellow"/>
          <w:u w:val="single"/>
        </w:rPr>
        <w:t>no existe incumplimiento de normativa alguna por no contar con tres cotizaciones para el presente procedimiento de contratación</w:t>
      </w:r>
      <w:r>
        <w:rPr>
          <w:rFonts w:ascii="Play" w:eastAsia="Play" w:hAnsi="Play" w:cs="Play"/>
          <w:color w:val="000000"/>
          <w:sz w:val="20"/>
          <w:szCs w:val="20"/>
          <w:highlight w:val="yellow"/>
        </w:rPr>
        <w:t>, puesto que existe potestad discrecional de las entidades contratantes en la aplicación de la misma.</w:t>
      </w:r>
    </w:p>
    <w:p w:rsidR="00883971" w:rsidRDefault="00883971">
      <w:pPr>
        <w:jc w:val="both"/>
        <w:rPr>
          <w:rFonts w:ascii="Play" w:eastAsia="Play" w:hAnsi="Play" w:cs="Play"/>
          <w:sz w:val="20"/>
          <w:szCs w:val="20"/>
        </w:rPr>
      </w:pPr>
    </w:p>
    <w:p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CONCLUSIÓN: DETERMINACIÓN DEL PRESUPUESTO REFERENCIAL</w:t>
      </w:r>
    </w:p>
    <w:p w:rsidR="00883971" w:rsidRDefault="00883971">
      <w:pPr>
        <w:pBdr>
          <w:top w:val="nil"/>
          <w:left w:val="nil"/>
          <w:bottom w:val="nil"/>
          <w:right w:val="nil"/>
          <w:between w:val="nil"/>
        </w:pBdr>
        <w:jc w:val="both"/>
        <w:rPr>
          <w:rFonts w:ascii="Play" w:eastAsia="Play" w:hAnsi="Play" w:cs="Play"/>
          <w:b/>
          <w:color w:val="000000"/>
          <w:sz w:val="20"/>
          <w:szCs w:val="20"/>
        </w:rPr>
      </w:pPr>
    </w:p>
    <w:p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Por lo antes expuesto, dando cumplimiento a lo establecido en el artículo 49, 50 y 149 del Reglamento General de la Ley Orgánica del Sistema Nacional de Contratación Pública, se considerará como presupuesto referencial el valor de USD XXXXXXX,XX (indicar c</w:t>
      </w:r>
      <w:r>
        <w:rPr>
          <w:rFonts w:ascii="Play" w:eastAsia="Play" w:hAnsi="Play" w:cs="Play"/>
          <w:color w:val="000000"/>
          <w:sz w:val="20"/>
          <w:szCs w:val="20"/>
          <w:highlight w:val="white"/>
        </w:rPr>
        <w:t>antidad en letras/dólares de los Estados Unidos de América) más IVA, de acuerdo al siguiente detalle; aplicando el mecanismo de ÍNFIMA CUANTÍA.</w:t>
      </w:r>
    </w:p>
    <w:p w:rsidR="00883971" w:rsidRDefault="00883971">
      <w:pPr>
        <w:ind w:right="119"/>
        <w:jc w:val="both"/>
        <w:rPr>
          <w:rFonts w:ascii="Play" w:eastAsia="Play" w:hAnsi="Play" w:cs="Play"/>
          <w:color w:val="000000"/>
          <w:sz w:val="20"/>
          <w:szCs w:val="20"/>
          <w:highlight w:val="white"/>
        </w:rPr>
      </w:pPr>
    </w:p>
    <w:p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Ejemplo</w:t>
      </w:r>
    </w:p>
    <w:p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Para el caso de bienes y servicios</w:t>
      </w:r>
    </w:p>
    <w:p w:rsidR="00883971" w:rsidRDefault="00883971">
      <w:pPr>
        <w:ind w:right="119"/>
        <w:jc w:val="both"/>
        <w:rPr>
          <w:rFonts w:ascii="Play" w:eastAsia="Play" w:hAnsi="Play" w:cs="Play"/>
          <w:color w:val="000000"/>
          <w:sz w:val="20"/>
          <w:szCs w:val="20"/>
          <w:highlight w:val="white"/>
        </w:rPr>
      </w:pPr>
    </w:p>
    <w:tbl>
      <w:tblPr>
        <w:tblStyle w:val="a5"/>
        <w:tblW w:w="8488" w:type="dxa"/>
        <w:tblInd w:w="0" w:type="dxa"/>
        <w:tblLayout w:type="fixed"/>
        <w:tblLook w:val="0400" w:firstRow="0" w:lastRow="0" w:firstColumn="0" w:lastColumn="0" w:noHBand="0" w:noVBand="1"/>
      </w:tblPr>
      <w:tblGrid>
        <w:gridCol w:w="746"/>
        <w:gridCol w:w="742"/>
        <w:gridCol w:w="2692"/>
        <w:gridCol w:w="952"/>
        <w:gridCol w:w="952"/>
        <w:gridCol w:w="1202"/>
        <w:gridCol w:w="1202"/>
      </w:tblGrid>
      <w:tr w:rsidR="00883971">
        <w:trPr>
          <w:trHeight w:val="255"/>
        </w:trPr>
        <w:tc>
          <w:tcPr>
            <w:tcW w:w="74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Ítem</w:t>
            </w:r>
          </w:p>
        </w:tc>
        <w:tc>
          <w:tcPr>
            <w:tcW w:w="74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Código CPC</w:t>
            </w:r>
          </w:p>
        </w:tc>
        <w:tc>
          <w:tcPr>
            <w:tcW w:w="269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Descripción</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Cantidad</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Unidad</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Precio unitario</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883971" w:rsidRDefault="000103CD">
            <w:pPr>
              <w:jc w:val="center"/>
              <w:rPr>
                <w:rFonts w:ascii="Play" w:eastAsia="Play" w:hAnsi="Play" w:cs="Play"/>
                <w:b/>
                <w:sz w:val="20"/>
                <w:szCs w:val="20"/>
              </w:rPr>
            </w:pPr>
            <w:r>
              <w:rPr>
                <w:rFonts w:ascii="Play" w:eastAsia="Play" w:hAnsi="Play" w:cs="Play"/>
                <w:b/>
                <w:sz w:val="20"/>
                <w:szCs w:val="20"/>
              </w:rPr>
              <w:t>Precio Total</w:t>
            </w:r>
          </w:p>
        </w:tc>
      </w:tr>
      <w:tr w:rsidR="00883971">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nil"/>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rsidR="00883971" w:rsidRDefault="00883971">
            <w:pPr>
              <w:jc w:val="center"/>
              <w:rPr>
                <w:rFonts w:ascii="Play" w:eastAsia="Play" w:hAnsi="Play" w:cs="Play"/>
                <w:sz w:val="20"/>
                <w:szCs w:val="20"/>
              </w:rPr>
            </w:pPr>
          </w:p>
        </w:tc>
      </w:tr>
      <w:tr w:rsidR="00883971">
        <w:trPr>
          <w:trHeight w:val="255"/>
        </w:trPr>
        <w:tc>
          <w:tcPr>
            <w:tcW w:w="746" w:type="dxa"/>
            <w:tcBorders>
              <w:top w:val="single" w:sz="4" w:space="0" w:color="000000"/>
            </w:tcBorders>
            <w:vAlign w:val="center"/>
          </w:tcPr>
          <w:p w:rsidR="00883971" w:rsidRDefault="00883971">
            <w:pPr>
              <w:jc w:val="center"/>
              <w:rPr>
                <w:rFonts w:ascii="Play" w:eastAsia="Play" w:hAnsi="Play" w:cs="Play"/>
                <w:sz w:val="20"/>
                <w:szCs w:val="20"/>
              </w:rPr>
            </w:pPr>
          </w:p>
        </w:tc>
        <w:tc>
          <w:tcPr>
            <w:tcW w:w="742" w:type="dxa"/>
            <w:tcBorders>
              <w:top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2692" w:type="dxa"/>
            <w:tcBorders>
              <w:top w:val="single" w:sz="4" w:space="0" w:color="000000"/>
            </w:tcBorders>
            <w:shd w:val="clear" w:color="auto" w:fill="auto"/>
            <w:vAlign w:val="center"/>
          </w:tcPr>
          <w:p w:rsidR="00883971" w:rsidRDefault="00883971">
            <w:pPr>
              <w:jc w:val="center"/>
              <w:rPr>
                <w:rFonts w:ascii="Play" w:eastAsia="Play" w:hAnsi="Play" w:cs="Play"/>
                <w:sz w:val="20"/>
                <w:szCs w:val="20"/>
              </w:rPr>
            </w:pPr>
          </w:p>
        </w:tc>
        <w:tc>
          <w:tcPr>
            <w:tcW w:w="952" w:type="dxa"/>
            <w:tcBorders>
              <w:top w:val="single" w:sz="4" w:space="0" w:color="000000"/>
              <w:left w:val="nil"/>
              <w:right w:val="single" w:sz="4" w:space="0" w:color="000000"/>
            </w:tcBorders>
            <w:vAlign w:val="center"/>
          </w:tcPr>
          <w:p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3971" w:rsidRDefault="000103CD">
            <w:pPr>
              <w:jc w:val="center"/>
              <w:rPr>
                <w:rFonts w:ascii="Play" w:eastAsia="Play" w:hAnsi="Play" w:cs="Play"/>
                <w:sz w:val="20"/>
                <w:szCs w:val="20"/>
              </w:rPr>
            </w:pPr>
            <w:r>
              <w:rPr>
                <w:rFonts w:ascii="Play" w:eastAsia="Play" w:hAnsi="Play" w:cs="Play"/>
                <w:sz w:val="20"/>
                <w:szCs w:val="20"/>
              </w:rPr>
              <w:t>T</w:t>
            </w:r>
            <w:r>
              <w:t>otal</w:t>
            </w:r>
          </w:p>
        </w:tc>
        <w:tc>
          <w:tcPr>
            <w:tcW w:w="1202" w:type="dxa"/>
            <w:tcBorders>
              <w:top w:val="single" w:sz="4" w:space="0" w:color="000000"/>
              <w:left w:val="nil"/>
              <w:bottom w:val="single" w:sz="4" w:space="0" w:color="000000"/>
              <w:right w:val="single" w:sz="4" w:space="0" w:color="000000"/>
            </w:tcBorders>
            <w:vAlign w:val="center"/>
          </w:tcPr>
          <w:p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rsidR="00883971" w:rsidRDefault="00883971">
            <w:pPr>
              <w:jc w:val="center"/>
              <w:rPr>
                <w:rFonts w:ascii="Play" w:eastAsia="Play" w:hAnsi="Play" w:cs="Play"/>
                <w:sz w:val="20"/>
                <w:szCs w:val="20"/>
              </w:rPr>
            </w:pPr>
          </w:p>
        </w:tc>
      </w:tr>
    </w:tbl>
    <w:p w:rsidR="00883971" w:rsidRDefault="00883971">
      <w:pPr>
        <w:ind w:right="119"/>
        <w:jc w:val="both"/>
        <w:rPr>
          <w:rFonts w:ascii="Play" w:eastAsia="Play" w:hAnsi="Play" w:cs="Play"/>
          <w:color w:val="000000"/>
          <w:sz w:val="20"/>
          <w:szCs w:val="20"/>
          <w:highlight w:val="white"/>
        </w:rPr>
      </w:pPr>
    </w:p>
    <w:p w:rsidR="00883971" w:rsidRDefault="00883971">
      <w:pPr>
        <w:ind w:right="119"/>
        <w:jc w:val="both"/>
        <w:rPr>
          <w:rFonts w:ascii="Play" w:eastAsia="Play" w:hAnsi="Play" w:cs="Play"/>
          <w:color w:val="000000"/>
          <w:sz w:val="20"/>
          <w:szCs w:val="20"/>
          <w:highlight w:val="white"/>
        </w:rPr>
      </w:pPr>
    </w:p>
    <w:p w:rsidR="00883971" w:rsidRDefault="00883971">
      <w:pPr>
        <w:ind w:right="119"/>
        <w:jc w:val="both"/>
        <w:rPr>
          <w:rFonts w:ascii="Play" w:eastAsia="Play" w:hAnsi="Play" w:cs="Play"/>
          <w:color w:val="000000"/>
          <w:sz w:val="20"/>
          <w:szCs w:val="20"/>
          <w:highlight w:val="white"/>
        </w:rPr>
      </w:pPr>
    </w:p>
    <w:p w:rsidR="00883971" w:rsidRDefault="00883971">
      <w:pPr>
        <w:ind w:right="119"/>
        <w:jc w:val="both"/>
        <w:rPr>
          <w:rFonts w:ascii="Play" w:eastAsia="Play" w:hAnsi="Play" w:cs="Play"/>
          <w:color w:val="000000"/>
          <w:sz w:val="20"/>
          <w:szCs w:val="20"/>
          <w:highlight w:val="white"/>
        </w:rPr>
      </w:pPr>
    </w:p>
    <w:p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Para constancia de lo actuado, firman el presente documento.</w:t>
      </w:r>
    </w:p>
    <w:p w:rsidR="00883971" w:rsidRDefault="00883971">
      <w:pPr>
        <w:ind w:left="-709" w:right="-336"/>
        <w:jc w:val="both"/>
        <w:rPr>
          <w:rFonts w:ascii="Play" w:eastAsia="Play" w:hAnsi="Play" w:cs="Play"/>
          <w:color w:val="000000"/>
          <w:sz w:val="20"/>
          <w:szCs w:val="20"/>
          <w:highlight w:val="white"/>
        </w:rPr>
      </w:pPr>
    </w:p>
    <w:p w:rsidR="00883971" w:rsidRDefault="00883971">
      <w:pPr>
        <w:ind w:left="-709" w:right="-336" w:firstLine="709"/>
        <w:jc w:val="both"/>
        <w:rPr>
          <w:rFonts w:ascii="Play" w:eastAsia="Play" w:hAnsi="Play" w:cs="Play"/>
          <w:color w:val="000000"/>
          <w:sz w:val="20"/>
          <w:szCs w:val="20"/>
          <w:highlight w:val="white"/>
        </w:rPr>
      </w:pPr>
    </w:p>
    <w:p w:rsidR="00883971" w:rsidRDefault="00883971">
      <w:pPr>
        <w:ind w:left="-709" w:right="-336" w:firstLine="709"/>
        <w:jc w:val="both"/>
        <w:rPr>
          <w:rFonts w:ascii="Play" w:eastAsia="Play" w:hAnsi="Play" w:cs="Play"/>
          <w:color w:val="000000"/>
          <w:sz w:val="20"/>
          <w:szCs w:val="20"/>
          <w:highlight w:val="white"/>
        </w:rPr>
      </w:pPr>
    </w:p>
    <w:tbl>
      <w:tblPr>
        <w:tblStyle w:val="a6"/>
        <w:tblW w:w="8361"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2885"/>
        <w:gridCol w:w="2752"/>
        <w:gridCol w:w="2724"/>
      </w:tblGrid>
      <w:tr w:rsidR="00883971">
        <w:tc>
          <w:tcPr>
            <w:tcW w:w="2885" w:type="dxa"/>
          </w:tcPr>
          <w:p w:rsidR="00883971" w:rsidRDefault="000103CD">
            <w:pPr>
              <w:ind w:right="26"/>
              <w:jc w:val="center"/>
              <w:rPr>
                <w:rFonts w:ascii="Play" w:eastAsia="Play" w:hAnsi="Play" w:cs="Play"/>
                <w:color w:val="000000"/>
                <w:sz w:val="20"/>
                <w:szCs w:val="20"/>
                <w:highlight w:val="white"/>
              </w:rPr>
            </w:pPr>
            <w:r>
              <w:rPr>
                <w:rFonts w:ascii="Play" w:eastAsia="Play" w:hAnsi="Play" w:cs="Play"/>
                <w:color w:val="000000"/>
                <w:sz w:val="20"/>
                <w:szCs w:val="20"/>
                <w:highlight w:val="white"/>
              </w:rPr>
              <w:t>Elaborado por:</w:t>
            </w:r>
          </w:p>
          <w:p w:rsidR="00883971" w:rsidRDefault="00883971">
            <w:pPr>
              <w:ind w:right="26"/>
              <w:jc w:val="center"/>
              <w:rPr>
                <w:rFonts w:ascii="Play" w:eastAsia="Play" w:hAnsi="Play" w:cs="Play"/>
                <w:color w:val="000000"/>
                <w:sz w:val="20"/>
                <w:szCs w:val="20"/>
                <w:highlight w:val="green"/>
              </w:rPr>
            </w:pPr>
          </w:p>
          <w:p w:rsidR="00883971" w:rsidRDefault="000103CD">
            <w:pPr>
              <w:ind w:right="26"/>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52" w:type="dxa"/>
          </w:tcPr>
          <w:p w:rsidR="00883971" w:rsidRDefault="000103CD">
            <w:pPr>
              <w:ind w:right="33"/>
              <w:jc w:val="center"/>
              <w:rPr>
                <w:rFonts w:ascii="Play" w:eastAsia="Play" w:hAnsi="Play" w:cs="Play"/>
                <w:color w:val="000000"/>
                <w:sz w:val="20"/>
                <w:szCs w:val="20"/>
                <w:highlight w:val="white"/>
              </w:rPr>
            </w:pPr>
            <w:r>
              <w:rPr>
                <w:rFonts w:ascii="Play" w:eastAsia="Play" w:hAnsi="Play" w:cs="Play"/>
                <w:color w:val="000000"/>
                <w:sz w:val="20"/>
                <w:szCs w:val="20"/>
                <w:highlight w:val="white"/>
              </w:rPr>
              <w:t>Revisado por:</w:t>
            </w:r>
          </w:p>
          <w:p w:rsidR="00883971" w:rsidRDefault="00883971">
            <w:pPr>
              <w:ind w:right="33"/>
              <w:jc w:val="center"/>
              <w:rPr>
                <w:rFonts w:ascii="Play" w:eastAsia="Play" w:hAnsi="Play" w:cs="Play"/>
                <w:color w:val="000000"/>
                <w:sz w:val="20"/>
                <w:szCs w:val="20"/>
                <w:highlight w:val="white"/>
              </w:rPr>
            </w:pPr>
          </w:p>
          <w:p w:rsidR="00883971" w:rsidRDefault="000103CD">
            <w:pPr>
              <w:ind w:right="33"/>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24" w:type="dxa"/>
          </w:tcPr>
          <w:p w:rsidR="00883971" w:rsidRDefault="000103CD">
            <w:pPr>
              <w:ind w:right="1"/>
              <w:jc w:val="center"/>
              <w:rPr>
                <w:rFonts w:ascii="Play" w:eastAsia="Play" w:hAnsi="Play" w:cs="Play"/>
                <w:color w:val="000000"/>
                <w:sz w:val="20"/>
                <w:szCs w:val="20"/>
                <w:highlight w:val="white"/>
              </w:rPr>
            </w:pPr>
            <w:r>
              <w:rPr>
                <w:rFonts w:ascii="Play" w:eastAsia="Play" w:hAnsi="Play" w:cs="Play"/>
                <w:color w:val="000000"/>
                <w:sz w:val="20"/>
                <w:szCs w:val="20"/>
                <w:highlight w:val="white"/>
              </w:rPr>
              <w:t>Aprobado por:</w:t>
            </w:r>
          </w:p>
          <w:p w:rsidR="00883971" w:rsidRDefault="00883971">
            <w:pPr>
              <w:ind w:right="1"/>
              <w:jc w:val="center"/>
              <w:rPr>
                <w:rFonts w:ascii="Play" w:eastAsia="Play" w:hAnsi="Play" w:cs="Play"/>
                <w:color w:val="000000"/>
                <w:sz w:val="20"/>
                <w:szCs w:val="20"/>
                <w:highlight w:val="white"/>
              </w:rPr>
            </w:pPr>
          </w:p>
          <w:p w:rsidR="00883971" w:rsidRDefault="000103CD">
            <w:pPr>
              <w:ind w:right="1"/>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r>
    </w:tbl>
    <w:p w:rsidR="00883971" w:rsidRDefault="00883971">
      <w:pPr>
        <w:rPr>
          <w:rFonts w:ascii="Play" w:eastAsia="Play" w:hAnsi="Play" w:cs="Play"/>
          <w:sz w:val="20"/>
          <w:szCs w:val="20"/>
        </w:rPr>
      </w:pPr>
    </w:p>
    <w:p w:rsidR="00883971" w:rsidRDefault="00883971"/>
    <w:sectPr w:rsidR="00883971">
      <w:headerReference w:type="default" r:id="rId8"/>
      <w:foot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03CD">
      <w:r>
        <w:separator/>
      </w:r>
    </w:p>
  </w:endnote>
  <w:endnote w:type="continuationSeparator" w:id="0">
    <w:p w:rsidR="00000000" w:rsidRDefault="0001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altName w:val="Cambria"/>
    <w:charset w:val="00"/>
    <w:family w:val="auto"/>
    <w:pitch w:val="default"/>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71" w:rsidRDefault="000103CD">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Pr>
        <w:b/>
        <w:noProof/>
        <w:color w:val="000000"/>
      </w:rPr>
      <w:t>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Pr>
        <w:b/>
        <w:noProof/>
        <w:color w:val="000000"/>
      </w:rPr>
      <w:t>8</w:t>
    </w:r>
    <w:r>
      <w:rPr>
        <w:b/>
        <w:color w:val="000000"/>
      </w:rPr>
      <w:fldChar w:fldCharType="end"/>
    </w:r>
  </w:p>
  <w:p w:rsidR="00883971" w:rsidRDefault="000103CD">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03CD">
      <w:r>
        <w:separator/>
      </w:r>
    </w:p>
  </w:footnote>
  <w:footnote w:type="continuationSeparator" w:id="0">
    <w:p w:rsidR="00000000" w:rsidRDefault="000103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971" w:rsidRDefault="000103CD">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1720"/>
    <w:multiLevelType w:val="multilevel"/>
    <w:tmpl w:val="9B00E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0D15F3C"/>
    <w:multiLevelType w:val="multilevel"/>
    <w:tmpl w:val="74A0AD34"/>
    <w:lvl w:ilvl="0">
      <w:start w:val="1"/>
      <w:numFmt w:val="decimal"/>
      <w:lvlText w:val="%1."/>
      <w:lvlJc w:val="left"/>
      <w:pPr>
        <w:ind w:left="4755" w:hanging="360"/>
      </w:pPr>
    </w:lvl>
    <w:lvl w:ilvl="1">
      <w:start w:val="1"/>
      <w:numFmt w:val="decimal"/>
      <w:lvlText w:val="%2."/>
      <w:lvlJc w:val="left"/>
      <w:pPr>
        <w:ind w:left="4825" w:hanging="430"/>
      </w:pPr>
      <w:rPr>
        <w:rFonts w:ascii="Calibri" w:eastAsia="Calibri" w:hAnsi="Calibri" w:cs="Calibri"/>
      </w:rPr>
    </w:lvl>
    <w:lvl w:ilvl="2">
      <w:start w:val="1"/>
      <w:numFmt w:val="decimal"/>
      <w:lvlText w:val="%1.%2.%3"/>
      <w:lvlJc w:val="left"/>
      <w:pPr>
        <w:ind w:left="5115" w:hanging="720"/>
      </w:pPr>
    </w:lvl>
    <w:lvl w:ilvl="3">
      <w:start w:val="1"/>
      <w:numFmt w:val="decimal"/>
      <w:lvlText w:val="%1.%2.%3.%4"/>
      <w:lvlJc w:val="left"/>
      <w:pPr>
        <w:ind w:left="5115" w:hanging="720"/>
      </w:pPr>
    </w:lvl>
    <w:lvl w:ilvl="4">
      <w:start w:val="1"/>
      <w:numFmt w:val="decimal"/>
      <w:lvlText w:val="%1.%2.%3.%4.%5"/>
      <w:lvlJc w:val="left"/>
      <w:pPr>
        <w:ind w:left="5475" w:hanging="1080"/>
      </w:pPr>
    </w:lvl>
    <w:lvl w:ilvl="5">
      <w:start w:val="1"/>
      <w:numFmt w:val="decimal"/>
      <w:lvlText w:val="%1.%2.%3.%4.%5.%6"/>
      <w:lvlJc w:val="left"/>
      <w:pPr>
        <w:ind w:left="5475" w:hanging="1080"/>
      </w:pPr>
    </w:lvl>
    <w:lvl w:ilvl="6">
      <w:start w:val="1"/>
      <w:numFmt w:val="decimal"/>
      <w:lvlText w:val="%1.%2.%3.%4.%5.%6.%7"/>
      <w:lvlJc w:val="left"/>
      <w:pPr>
        <w:ind w:left="5835" w:hanging="1440"/>
      </w:pPr>
    </w:lvl>
    <w:lvl w:ilvl="7">
      <w:start w:val="1"/>
      <w:numFmt w:val="decimal"/>
      <w:lvlText w:val="%1.%2.%3.%4.%5.%6.%7.%8"/>
      <w:lvlJc w:val="left"/>
      <w:pPr>
        <w:ind w:left="5835" w:hanging="1440"/>
      </w:pPr>
    </w:lvl>
    <w:lvl w:ilvl="8">
      <w:start w:val="1"/>
      <w:numFmt w:val="decimal"/>
      <w:lvlText w:val="%1.%2.%3.%4.%5.%6.%7.%8.%9"/>
      <w:lvlJc w:val="left"/>
      <w:pPr>
        <w:ind w:left="6195"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71"/>
    <w:rsid w:val="000103CD"/>
    <w:rsid w:val="008839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C2C4"/>
  <w15:docId w15:val="{65016F24-75E3-4BE5-A3FA-3EEDEAF1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character" w:customStyle="1" w:styleId="normaltextrun">
    <w:name w:val="normaltextrun"/>
    <w:basedOn w:val="Fuentedeprrafopredeter"/>
    <w:rsid w:val="00FA7F6C"/>
  </w:style>
  <w:style w:type="character" w:customStyle="1" w:styleId="eop">
    <w:name w:val="eop"/>
    <w:basedOn w:val="Fuentedeprrafopredeter"/>
    <w:rsid w:val="00FA7F6C"/>
  </w:style>
  <w:style w:type="character" w:styleId="Hipervnculo">
    <w:name w:val="Hyperlink"/>
    <w:uiPriority w:val="99"/>
    <w:unhideWhenUsed/>
    <w:rsid w:val="00FA7F6C"/>
    <w:rPr>
      <w:color w:val="0563C1"/>
      <w:u w:val="single"/>
    </w:rPr>
  </w:style>
  <w:style w:type="character" w:customStyle="1" w:styleId="Mencinsinresolver1">
    <w:name w:val="Mención sin resolver1"/>
    <w:basedOn w:val="Fuentedeprrafopredeter"/>
    <w:uiPriority w:val="99"/>
    <w:semiHidden/>
    <w:unhideWhenUsed/>
    <w:rsid w:val="00FA7F6C"/>
    <w:rPr>
      <w:color w:val="605E5C"/>
      <w:shd w:val="clear" w:color="auto" w:fill="E1DFDD"/>
    </w:rPr>
  </w:style>
  <w:style w:type="paragraph" w:customStyle="1" w:styleId="Default">
    <w:name w:val="Default"/>
    <w:rsid w:val="00FA7F6C"/>
    <w:pPr>
      <w:autoSpaceDE w:val="0"/>
      <w:autoSpaceDN w:val="0"/>
      <w:adjustRightInd w:val="0"/>
    </w:pPr>
    <w:rPr>
      <w:rFonts w:ascii="Calibri" w:hAnsi="Calibri" w:cs="Calibri"/>
      <w:color w:val="000000"/>
    </w:rPr>
  </w:style>
  <w:style w:type="character" w:styleId="Hipervnculovisitado">
    <w:name w:val="FollowedHyperlink"/>
    <w:basedOn w:val="Fuentedeprrafopredeter"/>
    <w:uiPriority w:val="99"/>
    <w:semiHidden/>
    <w:unhideWhenUsed/>
    <w:rsid w:val="00FA7F6C"/>
    <w:rPr>
      <w:color w:val="96607D" w:themeColor="followedHyperlink"/>
      <w:u w:val="single"/>
    </w:rPr>
  </w:style>
  <w:style w:type="character" w:customStyle="1" w:styleId="Mencinsinresolver2">
    <w:name w:val="Mención sin resolver2"/>
    <w:basedOn w:val="Fuentedeprrafopredeter"/>
    <w:uiPriority w:val="99"/>
    <w:semiHidden/>
    <w:unhideWhenUsed/>
    <w:rsid w:val="00FA7F6C"/>
    <w:rPr>
      <w:color w:val="605E5C"/>
      <w:shd w:val="clear" w:color="auto" w:fill="E1DFDD"/>
    </w:rPr>
  </w:style>
  <w:style w:type="paragraph" w:customStyle="1" w:styleId="msonormal0">
    <w:name w:val="msonormal"/>
    <w:basedOn w:val="Normal"/>
    <w:rsid w:val="00FA7F6C"/>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A7F6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80"/>
    </w:rPr>
  </w:style>
  <w:style w:type="paragraph" w:customStyle="1" w:styleId="xl64">
    <w:name w:val="xl64"/>
    <w:basedOn w:val="Normal"/>
    <w:rsid w:val="00FA7F6C"/>
    <w:pPr>
      <w:spacing w:before="100" w:beforeAutospacing="1" w:after="100" w:afterAutospacing="1"/>
      <w:jc w:val="center"/>
    </w:pPr>
    <w:rPr>
      <w:rFonts w:ascii="Times New Roman" w:eastAsia="Times New Roman" w:hAnsi="Times New Roman" w:cs="Times New Roman"/>
    </w:rPr>
  </w:style>
  <w:style w:type="paragraph" w:customStyle="1" w:styleId="xl65">
    <w:name w:val="xl65"/>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A7F6C"/>
    <w:pPr>
      <w:spacing w:before="100" w:beforeAutospacing="1" w:after="100" w:afterAutospacing="1"/>
      <w:jc w:val="center"/>
    </w:pPr>
    <w:rPr>
      <w:rFonts w:ascii="Arial" w:eastAsia="Times New Roman" w:hAnsi="Arial" w:cs="Arial"/>
      <w:b/>
      <w:bCs/>
    </w:rPr>
  </w:style>
  <w:style w:type="paragraph" w:customStyle="1" w:styleId="paragraph">
    <w:name w:val="paragraph"/>
    <w:basedOn w:val="Normal"/>
    <w:rsid w:val="00FA7F6C"/>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Standard">
    <w:name w:val="Standard"/>
    <w:rsid w:val="00E810B3"/>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E810B3"/>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NormalWeb">
    <w:name w:val="Normal (Web)"/>
    <w:basedOn w:val="Normal"/>
    <w:uiPriority w:val="99"/>
    <w:semiHidden/>
    <w:unhideWhenUsed/>
    <w:rsid w:val="008B6EB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VCyzhX1IYBZZjzAuhK0Zmo/Jg==">CgMxLjAaGAoBMBITChEIB0INCgRQbGF5EgVBcmlhbDIOaC5zeWZybXJoNmFzZG0yDmgucHp0ZzUyb3lvM2lyOAByITF4ZjVZR0hfUTNON1NsZFJRbHFqZ2steUtQdWJVblFoeQ==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3117</Words>
  <Characters>17149</Characters>
  <Application>Microsoft Office Word</Application>
  <DocSecurity>0</DocSecurity>
  <Lines>142</Lines>
  <Paragraphs>40</Paragraphs>
  <ScaleCrop>false</ScaleCrop>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Joao Eduardo Cruz Granja</cp:lastModifiedBy>
  <cp:revision>2</cp:revision>
  <dcterms:created xsi:type="dcterms:W3CDTF">2025-08-14T20:02:00Z</dcterms:created>
  <dcterms:modified xsi:type="dcterms:W3CDTF">2025-09-18T15:49:00Z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