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DA" w:rsidRDefault="00CD3D44">
      <w:pPr>
        <w:ind w:right="-336"/>
        <w:jc w:val="center"/>
        <w:rPr>
          <w:rFonts w:ascii="Play" w:eastAsia="Play" w:hAnsi="Play" w:cs="Play"/>
          <w:b/>
          <w:sz w:val="20"/>
          <w:szCs w:val="20"/>
          <w:u w:val="single"/>
        </w:rPr>
      </w:pPr>
      <w:r>
        <w:rPr>
          <w:rFonts w:ascii="Play" w:eastAsia="Play" w:hAnsi="Play" w:cs="Play"/>
          <w:b/>
          <w:color w:val="000000"/>
          <w:sz w:val="20"/>
          <w:szCs w:val="20"/>
          <w:u w:val="single"/>
        </w:rPr>
        <w:t>INSTRUMENTO DE DETERMINACIÓN DEL PRESUPUESTO REFERENCIAL</w:t>
      </w:r>
    </w:p>
    <w:p w:rsidR="004730DA" w:rsidRDefault="00CD3D44">
      <w:pPr>
        <w:ind w:right="-336"/>
        <w:jc w:val="center"/>
        <w:rPr>
          <w:rFonts w:ascii="Play" w:eastAsia="Play" w:hAnsi="Play" w:cs="Play"/>
          <w:b/>
          <w:color w:val="000000"/>
          <w:sz w:val="20"/>
          <w:szCs w:val="20"/>
          <w:u w:val="single"/>
        </w:rPr>
      </w:pPr>
      <w:r>
        <w:rPr>
          <w:rFonts w:ascii="Play" w:eastAsia="Play" w:hAnsi="Play" w:cs="Play"/>
          <w:b/>
          <w:color w:val="000000"/>
          <w:sz w:val="20"/>
          <w:szCs w:val="20"/>
          <w:u w:val="single"/>
        </w:rPr>
        <w:t>ESTUDIO DE MERCADO</w:t>
      </w:r>
    </w:p>
    <w:p w:rsidR="004730DA" w:rsidRDefault="00CD3D44">
      <w:pPr>
        <w:ind w:right="-336"/>
        <w:jc w:val="center"/>
        <w:rPr>
          <w:rFonts w:ascii="Play" w:eastAsia="Play" w:hAnsi="Play" w:cs="Play"/>
          <w:b/>
          <w:color w:val="000000"/>
          <w:sz w:val="20"/>
          <w:szCs w:val="20"/>
          <w:u w:val="single"/>
        </w:rPr>
      </w:pPr>
      <w:r>
        <w:rPr>
          <w:rFonts w:ascii="Play" w:eastAsia="Play" w:hAnsi="Play" w:cs="Play"/>
          <w:b/>
          <w:color w:val="000000"/>
          <w:sz w:val="20"/>
          <w:szCs w:val="20"/>
          <w:u w:val="single"/>
        </w:rPr>
        <w:t>ÍNFIMA CUANTÍA</w:t>
      </w:r>
    </w:p>
    <w:p w:rsidR="004730DA" w:rsidRDefault="00CD3D44">
      <w:pPr>
        <w:ind w:right="-336"/>
        <w:jc w:val="center"/>
        <w:rPr>
          <w:rFonts w:ascii="Play" w:eastAsia="Play" w:hAnsi="Play" w:cs="Play"/>
          <w:b/>
          <w:color w:val="000000"/>
          <w:sz w:val="20"/>
          <w:szCs w:val="20"/>
          <w:u w:val="single"/>
        </w:rPr>
      </w:pPr>
      <w:r>
        <w:rPr>
          <w:rFonts w:ascii="Play" w:eastAsia="Play" w:hAnsi="Play" w:cs="Play"/>
          <w:b/>
          <w:color w:val="000000"/>
          <w:sz w:val="20"/>
          <w:szCs w:val="20"/>
          <w:u w:val="single"/>
        </w:rPr>
        <w:t>BIENES Y SERVICIOS</w:t>
      </w:r>
    </w:p>
    <w:p w:rsidR="004730DA" w:rsidRDefault="004730DA">
      <w:pPr>
        <w:ind w:right="-336"/>
        <w:jc w:val="center"/>
        <w:rPr>
          <w:rFonts w:ascii="Play" w:eastAsia="Play" w:hAnsi="Play" w:cs="Play"/>
          <w:color w:val="000000"/>
          <w:sz w:val="20"/>
          <w:szCs w:val="20"/>
        </w:rPr>
      </w:pPr>
    </w:p>
    <w:tbl>
      <w:tblPr>
        <w:tblStyle w:val="a"/>
        <w:tblW w:w="9776" w:type="dxa"/>
        <w:tblInd w:w="-431" w:type="dxa"/>
        <w:tblLayout w:type="fixed"/>
        <w:tblLook w:val="0400" w:firstRow="0" w:lastRow="0" w:firstColumn="0" w:lastColumn="0" w:noHBand="0" w:noVBand="1"/>
      </w:tblPr>
      <w:tblGrid>
        <w:gridCol w:w="3780"/>
        <w:gridCol w:w="5996"/>
      </w:tblGrid>
      <w:tr w:rsidR="004730DA">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Entidad Contratante:</w:t>
            </w:r>
          </w:p>
        </w:tc>
        <w:tc>
          <w:tcPr>
            <w:tcW w:w="5996" w:type="dxa"/>
            <w:tcBorders>
              <w:top w:val="single" w:sz="4" w:space="0" w:color="000000"/>
              <w:left w:val="single" w:sz="4" w:space="0" w:color="000000"/>
              <w:bottom w:val="single" w:sz="4" w:space="0" w:color="000000"/>
              <w:right w:val="single" w:sz="4" w:space="0" w:color="000000"/>
            </w:tcBorders>
          </w:tcPr>
          <w:p w:rsidR="004730DA" w:rsidRDefault="00CD3D44">
            <w:pPr>
              <w:ind w:right="-336"/>
              <w:jc w:val="both"/>
              <w:rPr>
                <w:rFonts w:ascii="Play" w:eastAsia="Play" w:hAnsi="Play" w:cs="Play"/>
                <w:color w:val="000000"/>
                <w:sz w:val="20"/>
                <w:szCs w:val="20"/>
              </w:rPr>
            </w:pPr>
            <w:r>
              <w:rPr>
                <w:rFonts w:ascii="Play" w:eastAsia="Play" w:hAnsi="Play" w:cs="Play"/>
                <w:color w:val="000000"/>
                <w:sz w:val="20"/>
                <w:szCs w:val="20"/>
              </w:rPr>
              <w:t>Escuela Superior Politécnica del Litoral</w:t>
            </w:r>
          </w:p>
        </w:tc>
      </w:tr>
      <w:tr w:rsidR="004730DA">
        <w:trPr>
          <w:trHeight w:val="66"/>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Área Requirente:</w:t>
            </w:r>
          </w:p>
        </w:tc>
        <w:tc>
          <w:tcPr>
            <w:tcW w:w="5996" w:type="dxa"/>
            <w:tcBorders>
              <w:top w:val="single" w:sz="4" w:space="0" w:color="000000"/>
              <w:left w:val="single" w:sz="4" w:space="0" w:color="000000"/>
              <w:bottom w:val="single" w:sz="4" w:space="0" w:color="000000"/>
              <w:right w:val="single" w:sz="4" w:space="0" w:color="000000"/>
            </w:tcBorders>
          </w:tcPr>
          <w:p w:rsidR="004730DA" w:rsidRDefault="00CD3D44">
            <w:pPr>
              <w:jc w:val="both"/>
              <w:rPr>
                <w:rFonts w:ascii="Play" w:eastAsia="Play" w:hAnsi="Play" w:cs="Play"/>
                <w:sz w:val="20"/>
                <w:szCs w:val="20"/>
                <w:highlight w:val="green"/>
              </w:rPr>
            </w:pPr>
            <w:r>
              <w:rPr>
                <w:rFonts w:ascii="Play" w:eastAsia="Play" w:hAnsi="Play" w:cs="Play"/>
                <w:sz w:val="20"/>
                <w:szCs w:val="20"/>
                <w:highlight w:val="green"/>
              </w:rPr>
              <w:t>(a definir por el requirente)</w:t>
            </w:r>
          </w:p>
        </w:tc>
      </w:tr>
      <w:tr w:rsidR="004730DA">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Objeto Contractual:</w:t>
            </w:r>
          </w:p>
        </w:tc>
        <w:tc>
          <w:tcPr>
            <w:tcW w:w="5996" w:type="dxa"/>
            <w:tcBorders>
              <w:top w:val="single" w:sz="4" w:space="0" w:color="000000"/>
              <w:left w:val="single" w:sz="4" w:space="0" w:color="000000"/>
              <w:bottom w:val="single" w:sz="4" w:space="0" w:color="000000"/>
              <w:right w:val="single" w:sz="4" w:space="0" w:color="000000"/>
            </w:tcBorders>
          </w:tcPr>
          <w:p w:rsidR="004730DA" w:rsidRDefault="00CD3D44">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r w:rsidR="004730DA">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Fecha de Elaboración del Estudio:</w:t>
            </w:r>
          </w:p>
        </w:tc>
        <w:tc>
          <w:tcPr>
            <w:tcW w:w="5996" w:type="dxa"/>
            <w:tcBorders>
              <w:top w:val="single" w:sz="4" w:space="0" w:color="000000"/>
              <w:left w:val="single" w:sz="4" w:space="0" w:color="000000"/>
              <w:bottom w:val="single" w:sz="4" w:space="0" w:color="000000"/>
              <w:right w:val="single" w:sz="4" w:space="0" w:color="000000"/>
            </w:tcBorders>
          </w:tcPr>
          <w:p w:rsidR="004730DA" w:rsidRDefault="00CD3D44">
            <w:pPr>
              <w:ind w:right="65"/>
              <w:jc w:val="both"/>
              <w:rPr>
                <w:rFonts w:ascii="Play" w:eastAsia="Play" w:hAnsi="Play" w:cs="Play"/>
                <w:color w:val="000000"/>
                <w:sz w:val="20"/>
                <w:szCs w:val="20"/>
                <w:highlight w:val="green"/>
              </w:rPr>
            </w:pPr>
            <w:r>
              <w:rPr>
                <w:rFonts w:ascii="Play" w:eastAsia="Play" w:hAnsi="Play" w:cs="Play"/>
                <w:color w:val="000000"/>
                <w:sz w:val="20"/>
                <w:szCs w:val="20"/>
                <w:highlight w:val="green"/>
              </w:rPr>
              <w:t>Día – mes – año (de elaboración)</w:t>
            </w:r>
          </w:p>
        </w:tc>
      </w:tr>
      <w:tr w:rsidR="004730DA">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Lugar (Provincia/Cantón):</w:t>
            </w:r>
          </w:p>
        </w:tc>
        <w:tc>
          <w:tcPr>
            <w:tcW w:w="5996" w:type="dxa"/>
            <w:tcBorders>
              <w:top w:val="single" w:sz="4" w:space="0" w:color="000000"/>
              <w:left w:val="single" w:sz="4" w:space="0" w:color="000000"/>
              <w:bottom w:val="single" w:sz="4" w:space="0" w:color="000000"/>
              <w:right w:val="single" w:sz="4" w:space="0" w:color="000000"/>
            </w:tcBorders>
          </w:tcPr>
          <w:p w:rsidR="004730DA" w:rsidRDefault="00CD3D44">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bl>
    <w:p w:rsidR="004730DA" w:rsidRDefault="004730DA">
      <w:pPr>
        <w:jc w:val="both"/>
        <w:rPr>
          <w:rFonts w:ascii="Play" w:eastAsia="Play" w:hAnsi="Play" w:cs="Play"/>
          <w:sz w:val="20"/>
          <w:szCs w:val="20"/>
        </w:rPr>
      </w:pPr>
    </w:p>
    <w:p w:rsidR="004730DA" w:rsidRDefault="00CD3D44">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ANTECEDENTES</w:t>
      </w:r>
    </w:p>
    <w:p w:rsidR="004730DA" w:rsidRDefault="004730DA">
      <w:pPr>
        <w:jc w:val="both"/>
        <w:rPr>
          <w:rFonts w:ascii="Play" w:eastAsia="Play" w:hAnsi="Play" w:cs="Play"/>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informe de necesidad del </w:t>
      </w:r>
      <w:r>
        <w:rPr>
          <w:rFonts w:ascii="Play" w:eastAsia="Play" w:hAnsi="Play" w:cs="Play"/>
          <w:color w:val="000000"/>
          <w:sz w:val="20"/>
          <w:szCs w:val="20"/>
          <w:highlight w:val="green"/>
        </w:rPr>
        <w:t>DIA-MES-AÑO</w:t>
      </w:r>
      <w:r>
        <w:rPr>
          <w:rFonts w:ascii="Play" w:eastAsia="Play" w:hAnsi="Play" w:cs="Play"/>
          <w:color w:val="000000"/>
          <w:sz w:val="20"/>
          <w:szCs w:val="20"/>
        </w:rPr>
        <w:t>, la “</w:t>
      </w:r>
      <w:r>
        <w:rPr>
          <w:rFonts w:ascii="Play" w:eastAsia="Play" w:hAnsi="Play" w:cs="Play"/>
          <w:color w:val="000000"/>
          <w:sz w:val="20"/>
          <w:szCs w:val="20"/>
          <w:highlight w:val="green"/>
        </w:rPr>
        <w:t>NOMBRE DEL ÁREA REQUIRENTE</w:t>
      </w:r>
      <w:r>
        <w:rPr>
          <w:rFonts w:ascii="Play" w:eastAsia="Play" w:hAnsi="Play" w:cs="Play"/>
          <w:color w:val="000000"/>
          <w:sz w:val="20"/>
          <w:szCs w:val="20"/>
        </w:rPr>
        <w:t>”, justificó las razones para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r>
        <w:rPr>
          <w:color w:val="000000"/>
        </w:rPr>
        <w:t xml:space="preserve"> </w:t>
      </w:r>
      <w:r>
        <w:rPr>
          <w:rFonts w:ascii="Play" w:eastAsia="Play" w:hAnsi="Play" w:cs="Play"/>
          <w:color w:val="000000"/>
          <w:sz w:val="20"/>
          <w:szCs w:val="20"/>
        </w:rPr>
        <w:t xml:space="preserve">y </w:t>
      </w:r>
      <w:r>
        <w:rPr>
          <w:rFonts w:ascii="Play" w:eastAsia="Play" w:hAnsi="Play" w:cs="Play"/>
          <w:color w:val="000000"/>
          <w:sz w:val="20"/>
          <w:szCs w:val="20"/>
          <w:highlight w:val="green"/>
        </w:rPr>
        <w:t>adjuntó el REPORTE DE BIENES PARA MANTENIMIENTO Y/O REPARACIÓN (cuando sea aplicable).</w:t>
      </w:r>
      <w:r>
        <w:rPr>
          <w:rFonts w:ascii="Play" w:eastAsia="Play" w:hAnsi="Play" w:cs="Play"/>
          <w:color w:val="000000"/>
          <w:sz w:val="20"/>
          <w:szCs w:val="20"/>
        </w:rPr>
        <w:t xml:space="preserve"> </w:t>
      </w:r>
    </w:p>
    <w:p w:rsidR="004730DA" w:rsidRDefault="004730DA">
      <w:pPr>
        <w:pBdr>
          <w:top w:val="nil"/>
          <w:left w:val="nil"/>
          <w:bottom w:val="nil"/>
          <w:right w:val="nil"/>
          <w:between w:val="nil"/>
        </w:pBdr>
        <w:jc w:val="both"/>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solicitud de compra XXXX-2025-XXX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el </w:t>
      </w:r>
      <w:r>
        <w:rPr>
          <w:rFonts w:ascii="Play" w:eastAsia="Play" w:hAnsi="Play" w:cs="Play"/>
          <w:color w:val="000000"/>
          <w:sz w:val="20"/>
          <w:szCs w:val="20"/>
          <w:highlight w:val="green"/>
        </w:rPr>
        <w:t>TITULO-NOMBRE-CARGO-FUNCIONARIO-UNIDAD REQUIRENTE</w:t>
      </w:r>
      <w:r>
        <w:rPr>
          <w:rFonts w:ascii="Play" w:eastAsia="Play" w:hAnsi="Play" w:cs="Play"/>
          <w:color w:val="000000"/>
          <w:sz w:val="20"/>
          <w:szCs w:val="20"/>
        </w:rPr>
        <w:t>, solicitó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 y adjuntó la o las siguiente(s) cotización(es) referencial(es) que se detallan a continuación:</w:t>
      </w:r>
    </w:p>
    <w:tbl>
      <w:tblPr>
        <w:tblStyle w:val="a0"/>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3022"/>
        <w:gridCol w:w="1896"/>
        <w:gridCol w:w="2004"/>
      </w:tblGrid>
      <w:tr w:rsidR="004730DA">
        <w:tc>
          <w:tcPr>
            <w:tcW w:w="1566"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RUC</w:t>
            </w:r>
          </w:p>
        </w:tc>
        <w:tc>
          <w:tcPr>
            <w:tcW w:w="3022"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Razón social</w:t>
            </w:r>
          </w:p>
        </w:tc>
        <w:tc>
          <w:tcPr>
            <w:tcW w:w="1896"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Cotización ($) sin IVA</w:t>
            </w:r>
          </w:p>
        </w:tc>
        <w:tc>
          <w:tcPr>
            <w:tcW w:w="2004"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Observación</w:t>
            </w:r>
          </w:p>
        </w:tc>
      </w:tr>
      <w:tr w:rsidR="004730DA">
        <w:tc>
          <w:tcPr>
            <w:tcW w:w="1566" w:type="dxa"/>
            <w:shd w:val="clear" w:color="auto" w:fill="auto"/>
          </w:tcPr>
          <w:p w:rsidR="004730DA" w:rsidRDefault="00CD3D44">
            <w:pPr>
              <w:jc w:val="both"/>
              <w:rPr>
                <w:rFonts w:ascii="Play" w:eastAsia="Play" w:hAnsi="Play" w:cs="Play"/>
                <w:sz w:val="20"/>
                <w:szCs w:val="20"/>
                <w:highlight w:val="green"/>
              </w:rPr>
            </w:pPr>
            <w:r>
              <w:rPr>
                <w:rFonts w:ascii="Play" w:eastAsia="Play" w:hAnsi="Play" w:cs="Play"/>
                <w:sz w:val="20"/>
                <w:szCs w:val="20"/>
                <w:highlight w:val="green"/>
              </w:rPr>
              <w:t>XXXXXXXXXXXXX</w:t>
            </w:r>
          </w:p>
        </w:tc>
        <w:tc>
          <w:tcPr>
            <w:tcW w:w="3022" w:type="dxa"/>
            <w:shd w:val="clear" w:color="auto" w:fill="auto"/>
          </w:tcPr>
          <w:p w:rsidR="004730DA" w:rsidRDefault="00CD3D44">
            <w:pPr>
              <w:jc w:val="both"/>
              <w:rPr>
                <w:rFonts w:ascii="Play" w:eastAsia="Play" w:hAnsi="Play" w:cs="Play"/>
                <w:sz w:val="20"/>
                <w:szCs w:val="20"/>
                <w:highlight w:val="green"/>
              </w:rPr>
            </w:pPr>
            <w:r>
              <w:rPr>
                <w:rFonts w:ascii="Play" w:eastAsia="Play" w:hAnsi="Play" w:cs="Play"/>
                <w:sz w:val="20"/>
                <w:szCs w:val="20"/>
                <w:highlight w:val="green"/>
              </w:rPr>
              <w:t>XXXXXXXXXXXXXXXXXXXXX</w:t>
            </w:r>
          </w:p>
        </w:tc>
        <w:tc>
          <w:tcPr>
            <w:tcW w:w="1896" w:type="dxa"/>
            <w:shd w:val="clear" w:color="auto" w:fill="auto"/>
          </w:tcPr>
          <w:p w:rsidR="004730DA" w:rsidRDefault="00CD3D44">
            <w:pPr>
              <w:jc w:val="right"/>
              <w:rPr>
                <w:rFonts w:ascii="Play" w:eastAsia="Play" w:hAnsi="Play" w:cs="Play"/>
                <w:sz w:val="20"/>
                <w:szCs w:val="20"/>
                <w:highlight w:val="green"/>
              </w:rPr>
            </w:pPr>
            <w:r>
              <w:rPr>
                <w:rFonts w:ascii="Play" w:eastAsia="Play" w:hAnsi="Play" w:cs="Play"/>
                <w:sz w:val="20"/>
                <w:szCs w:val="20"/>
                <w:highlight w:val="green"/>
              </w:rPr>
              <w:t>000.00</w:t>
            </w:r>
          </w:p>
        </w:tc>
        <w:tc>
          <w:tcPr>
            <w:tcW w:w="2004" w:type="dxa"/>
            <w:shd w:val="clear" w:color="auto" w:fill="auto"/>
          </w:tcPr>
          <w:p w:rsidR="004730DA" w:rsidRDefault="00CD3D44">
            <w:pPr>
              <w:jc w:val="both"/>
              <w:rPr>
                <w:rFonts w:ascii="Play" w:eastAsia="Play" w:hAnsi="Play" w:cs="Play"/>
                <w:sz w:val="20"/>
                <w:szCs w:val="20"/>
                <w:highlight w:val="green"/>
              </w:rPr>
            </w:pPr>
            <w:proofErr w:type="spellStart"/>
            <w:r>
              <w:rPr>
                <w:rFonts w:ascii="Play" w:eastAsia="Play" w:hAnsi="Play" w:cs="Play"/>
                <w:sz w:val="20"/>
                <w:szCs w:val="20"/>
                <w:highlight w:val="green"/>
              </w:rPr>
              <w:t>xxxxxxxxxxxxxxxxxx</w:t>
            </w:r>
            <w:proofErr w:type="spellEnd"/>
          </w:p>
        </w:tc>
      </w:tr>
      <w:tr w:rsidR="004730DA">
        <w:tc>
          <w:tcPr>
            <w:tcW w:w="1566" w:type="dxa"/>
            <w:shd w:val="clear" w:color="auto" w:fill="auto"/>
          </w:tcPr>
          <w:p w:rsidR="004730DA" w:rsidRDefault="004730DA">
            <w:pPr>
              <w:jc w:val="both"/>
              <w:rPr>
                <w:rFonts w:ascii="Play" w:eastAsia="Play" w:hAnsi="Play" w:cs="Play"/>
                <w:sz w:val="20"/>
                <w:szCs w:val="20"/>
              </w:rPr>
            </w:pPr>
          </w:p>
        </w:tc>
        <w:tc>
          <w:tcPr>
            <w:tcW w:w="3022" w:type="dxa"/>
            <w:shd w:val="clear" w:color="auto" w:fill="auto"/>
          </w:tcPr>
          <w:p w:rsidR="004730DA" w:rsidRDefault="004730DA">
            <w:pPr>
              <w:jc w:val="both"/>
              <w:rPr>
                <w:rFonts w:ascii="Play" w:eastAsia="Play" w:hAnsi="Play" w:cs="Play"/>
                <w:sz w:val="20"/>
                <w:szCs w:val="20"/>
              </w:rPr>
            </w:pPr>
          </w:p>
        </w:tc>
        <w:tc>
          <w:tcPr>
            <w:tcW w:w="1896" w:type="dxa"/>
            <w:shd w:val="clear" w:color="auto" w:fill="auto"/>
          </w:tcPr>
          <w:p w:rsidR="004730DA" w:rsidRDefault="004730DA">
            <w:pPr>
              <w:jc w:val="both"/>
              <w:rPr>
                <w:rFonts w:ascii="Play" w:eastAsia="Play" w:hAnsi="Play" w:cs="Play"/>
                <w:sz w:val="20"/>
                <w:szCs w:val="20"/>
              </w:rPr>
            </w:pPr>
          </w:p>
        </w:tc>
        <w:tc>
          <w:tcPr>
            <w:tcW w:w="2004" w:type="dxa"/>
            <w:shd w:val="clear" w:color="auto" w:fill="auto"/>
          </w:tcPr>
          <w:p w:rsidR="004730DA" w:rsidRDefault="004730DA">
            <w:pPr>
              <w:jc w:val="both"/>
              <w:rPr>
                <w:rFonts w:ascii="Play" w:eastAsia="Play" w:hAnsi="Play" w:cs="Play"/>
                <w:sz w:val="20"/>
                <w:szCs w:val="20"/>
              </w:rPr>
            </w:pPr>
          </w:p>
        </w:tc>
      </w:tr>
    </w:tbl>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bookmarkStart w:id="0" w:name="_heading=h.ysbejkeqx6t0" w:colFirst="0" w:colLast="0"/>
      <w:bookmarkEnd w:id="0"/>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en el Sistema de Adquisiciones de la ESPOL se creó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en la categoría “</w:t>
      </w:r>
      <w:r>
        <w:rPr>
          <w:rFonts w:ascii="Play" w:eastAsia="Play" w:hAnsi="Play" w:cs="Play"/>
          <w:color w:val="000000"/>
          <w:sz w:val="20"/>
          <w:szCs w:val="20"/>
          <w:highlight w:val="green"/>
        </w:rPr>
        <w:t>XXXXXXXXXXXX</w:t>
      </w:r>
      <w:r>
        <w:rPr>
          <w:rFonts w:ascii="Play" w:eastAsia="Play" w:hAnsi="Play" w:cs="Play"/>
          <w:color w:val="000000"/>
          <w:sz w:val="20"/>
          <w:szCs w:val="20"/>
        </w:rPr>
        <w:t xml:space="preserve">”, el mismo que fue revisado y aprobado por </w:t>
      </w:r>
      <w:r>
        <w:rPr>
          <w:rFonts w:ascii="Play" w:eastAsia="Play" w:hAnsi="Play" w:cs="Play"/>
          <w:color w:val="000000"/>
          <w:sz w:val="20"/>
          <w:szCs w:val="20"/>
          <w:highlight w:val="green"/>
        </w:rPr>
        <w:t>TITULO-NOMBRE-CARGO-FUNCIONARIO-DEPENDENCIA</w:t>
      </w:r>
      <w:r>
        <w:rPr>
          <w:rFonts w:ascii="Play" w:eastAsia="Play" w:hAnsi="Play" w:cs="Play"/>
          <w:color w:val="000000"/>
          <w:sz w:val="20"/>
          <w:szCs w:val="20"/>
        </w:rPr>
        <w:t xml:space="preserve"> (unidad </w:t>
      </w:r>
      <w:proofErr w:type="spellStart"/>
      <w:r>
        <w:rPr>
          <w:rFonts w:ascii="Play" w:eastAsia="Play" w:hAnsi="Play" w:cs="Play"/>
          <w:color w:val="000000"/>
          <w:sz w:val="20"/>
          <w:szCs w:val="20"/>
        </w:rPr>
        <w:t>consolidadora</w:t>
      </w:r>
      <w:proofErr w:type="spellEnd"/>
      <w:r>
        <w:rPr>
          <w:rFonts w:ascii="Play" w:eastAsia="Play" w:hAnsi="Play" w:cs="Play"/>
          <w:color w:val="000000"/>
          <w:sz w:val="20"/>
          <w:szCs w:val="20"/>
        </w:rPr>
        <w:t>).</w:t>
      </w:r>
    </w:p>
    <w:p w:rsidR="004730DA" w:rsidRDefault="004730DA">
      <w:pPr>
        <w:pBdr>
          <w:top w:val="nil"/>
          <w:left w:val="nil"/>
          <w:bottom w:val="nil"/>
          <w:right w:val="nil"/>
          <w:between w:val="nil"/>
        </w:pBdr>
        <w:jc w:val="both"/>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fue asignado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al Analista de compras Públicas para la debida atención.</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realizó la verificación del PAC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se confirmó que </w:t>
      </w:r>
      <w:r>
        <w:rPr>
          <w:rFonts w:ascii="Play" w:eastAsia="Play" w:hAnsi="Play" w:cs="Play"/>
          <w:color w:val="000000"/>
          <w:sz w:val="20"/>
          <w:szCs w:val="20"/>
          <w:highlight w:val="green"/>
        </w:rPr>
        <w:t>SI/NO</w:t>
      </w:r>
      <w:r>
        <w:rPr>
          <w:rFonts w:ascii="Play" w:eastAsia="Play" w:hAnsi="Play" w:cs="Play"/>
          <w:color w:val="000000"/>
          <w:sz w:val="20"/>
          <w:szCs w:val="20"/>
        </w:rPr>
        <w:t xml:space="preserve"> se encuentra establecido en el PAC.</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 xml:space="preserve">DIA-MES-AÑO </w:t>
      </w:r>
      <w:r>
        <w:rPr>
          <w:rFonts w:ascii="Play" w:eastAsia="Play" w:hAnsi="Play" w:cs="Play"/>
          <w:color w:val="000000"/>
          <w:sz w:val="20"/>
          <w:szCs w:val="20"/>
        </w:rPr>
        <w:t>se realizó la verificación en el catálogo electrónico del SERCOP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se confirmó que el </w:t>
      </w:r>
      <w:r>
        <w:rPr>
          <w:rFonts w:ascii="Play" w:eastAsia="Play" w:hAnsi="Play" w:cs="Play"/>
          <w:color w:val="000000"/>
          <w:sz w:val="20"/>
          <w:szCs w:val="20"/>
          <w:highlight w:val="green"/>
        </w:rPr>
        <w:t>bien/servicio/obra</w:t>
      </w:r>
      <w:r>
        <w:rPr>
          <w:rFonts w:ascii="Play" w:eastAsia="Play" w:hAnsi="Play" w:cs="Play"/>
          <w:color w:val="000000"/>
          <w:sz w:val="20"/>
          <w:szCs w:val="20"/>
        </w:rPr>
        <w:t xml:space="preserve"> </w:t>
      </w:r>
      <w:r>
        <w:rPr>
          <w:rFonts w:ascii="Play" w:eastAsia="Play" w:hAnsi="Play" w:cs="Play"/>
          <w:color w:val="000000"/>
          <w:sz w:val="20"/>
          <w:szCs w:val="20"/>
          <w:highlight w:val="green"/>
        </w:rPr>
        <w:t>SI/NO</w:t>
      </w:r>
      <w:r>
        <w:rPr>
          <w:rFonts w:ascii="Play" w:eastAsia="Play" w:hAnsi="Play" w:cs="Play"/>
          <w:color w:val="000000"/>
          <w:sz w:val="20"/>
          <w:szCs w:val="20"/>
        </w:rPr>
        <w:t xml:space="preserve"> se encuentra catalogado.</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realizó la verificación en el portal del SERCOP respecto de los Acuerdos Comerciales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se confirmó que </w:t>
      </w:r>
      <w:r>
        <w:rPr>
          <w:rFonts w:ascii="Play" w:eastAsia="Play" w:hAnsi="Play" w:cs="Play"/>
          <w:color w:val="000000"/>
          <w:sz w:val="20"/>
          <w:szCs w:val="20"/>
          <w:highlight w:val="green"/>
        </w:rPr>
        <w:t>SI/NO</w:t>
      </w:r>
      <w:r>
        <w:rPr>
          <w:rFonts w:ascii="Play" w:eastAsia="Play" w:hAnsi="Play" w:cs="Play"/>
          <w:color w:val="000000"/>
          <w:sz w:val="20"/>
          <w:szCs w:val="20"/>
        </w:rPr>
        <w:t xml:space="preserve"> aplican.</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consultó a la Bodega Central respecto de la existencia de los ítems correspondientes al “</w:t>
      </w:r>
      <w:r>
        <w:rPr>
          <w:rFonts w:ascii="Play" w:eastAsia="Play" w:hAnsi="Play" w:cs="Play"/>
          <w:color w:val="000000"/>
          <w:sz w:val="20"/>
          <w:szCs w:val="20"/>
          <w:highlight w:val="green"/>
        </w:rPr>
        <w:t>OBJETO DE CONTRATACIÓN</w:t>
      </w:r>
      <w:r>
        <w:rPr>
          <w:rFonts w:ascii="Play" w:eastAsia="Play" w:hAnsi="Play" w:cs="Play"/>
          <w:color w:val="000000"/>
          <w:sz w:val="20"/>
          <w:szCs w:val="20"/>
        </w:rPr>
        <w:t>” (Si aplica)</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Bodega Central indicó que </w:t>
      </w:r>
      <w:r>
        <w:rPr>
          <w:rFonts w:ascii="Play" w:eastAsia="Play" w:hAnsi="Play" w:cs="Play"/>
          <w:color w:val="000000"/>
          <w:sz w:val="20"/>
          <w:szCs w:val="20"/>
          <w:highlight w:val="green"/>
        </w:rPr>
        <w:t>SI/ NO</w:t>
      </w:r>
      <w:r>
        <w:rPr>
          <w:rFonts w:ascii="Play" w:eastAsia="Play" w:hAnsi="Play" w:cs="Play"/>
          <w:color w:val="000000"/>
          <w:sz w:val="20"/>
          <w:szCs w:val="20"/>
        </w:rPr>
        <w:t xml:space="preserve"> se encuentra en existencia los ítems requeridos “</w:t>
      </w:r>
      <w:r>
        <w:rPr>
          <w:rFonts w:ascii="Play" w:eastAsia="Play" w:hAnsi="Play" w:cs="Play"/>
          <w:color w:val="000000"/>
          <w:sz w:val="20"/>
          <w:szCs w:val="20"/>
          <w:highlight w:val="green"/>
        </w:rPr>
        <w:t>OBJETO DE CONTRATACIÓN</w:t>
      </w:r>
      <w:r>
        <w:rPr>
          <w:rFonts w:ascii="Play" w:eastAsia="Play" w:hAnsi="Play" w:cs="Play"/>
          <w:b/>
          <w:color w:val="000000"/>
          <w:sz w:val="20"/>
          <w:szCs w:val="20"/>
        </w:rPr>
        <w:t xml:space="preserve">” </w:t>
      </w:r>
      <w:r>
        <w:rPr>
          <w:rFonts w:ascii="Play" w:eastAsia="Play" w:hAnsi="Play" w:cs="Play"/>
          <w:color w:val="000000"/>
          <w:sz w:val="20"/>
          <w:szCs w:val="20"/>
        </w:rPr>
        <w:t>(Si aplica)</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solicitó al área requirente que informe el CPC de los bienes/servicios/rubros/.</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al área requirente informó el código CPC de los ítems</w:t>
      </w:r>
    </w:p>
    <w:p w:rsidR="004730DA" w:rsidRDefault="004730DA">
      <w:pPr>
        <w:pBdr>
          <w:top w:val="nil"/>
          <w:left w:val="nil"/>
          <w:bottom w:val="nil"/>
          <w:right w:val="nil"/>
          <w:between w:val="nil"/>
        </w:pBdr>
        <w:rPr>
          <w:rFonts w:ascii="Play" w:eastAsia="Play" w:hAnsi="Play" w:cs="Play"/>
          <w:color w:val="000000"/>
          <w:sz w:val="20"/>
          <w:szCs w:val="20"/>
        </w:rPr>
      </w:pPr>
    </w:p>
    <w:p w:rsidR="004730DA" w:rsidRDefault="00CD3D44">
      <w:pPr>
        <w:jc w:val="both"/>
        <w:rPr>
          <w:rFonts w:ascii="Play" w:eastAsia="Play" w:hAnsi="Play" w:cs="Play"/>
          <w:b/>
          <w:i/>
          <w:sz w:val="20"/>
          <w:szCs w:val="20"/>
        </w:rPr>
      </w:pPr>
      <w:r>
        <w:rPr>
          <w:rFonts w:ascii="Play" w:eastAsia="Play" w:hAnsi="Play" w:cs="Play"/>
          <w:sz w:val="20"/>
          <w:szCs w:val="20"/>
          <w:highlight w:val="yellow"/>
        </w:rPr>
        <w:t>Cuando se trate de reactivos controlados por la SETED indicar:</w:t>
      </w:r>
    </w:p>
    <w:p w:rsidR="004730DA" w:rsidRDefault="004730DA">
      <w:pPr>
        <w:shd w:val="clear" w:color="auto" w:fill="FFFFFF"/>
        <w:jc w:val="both"/>
        <w:rPr>
          <w:rFonts w:ascii="Play" w:eastAsia="Play" w:hAnsi="Play" w:cs="Play"/>
          <w:sz w:val="20"/>
          <w:szCs w:val="20"/>
        </w:rPr>
      </w:pPr>
    </w:p>
    <w:p w:rsidR="004730DA" w:rsidRDefault="00CD3D44">
      <w:pPr>
        <w:numPr>
          <w:ilvl w:val="1"/>
          <w:numId w:val="2"/>
        </w:numPr>
        <w:pBdr>
          <w:top w:val="nil"/>
          <w:left w:val="nil"/>
          <w:bottom w:val="nil"/>
          <w:right w:val="nil"/>
          <w:between w:val="nil"/>
        </w:pBdr>
        <w:shd w:val="clear" w:color="auto" w:fill="FFFFFF"/>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el Analista de Compras solicitó al Ing. Oswaldo Valle – delegado de la Máxima Autoridad ante la Secretaría Técnica de Drogas Ecuador - SETED, la debida autorización de los ítems contralados.</w:t>
      </w:r>
    </w:p>
    <w:p w:rsidR="004730DA" w:rsidRDefault="004730DA">
      <w:pPr>
        <w:pBdr>
          <w:top w:val="nil"/>
          <w:left w:val="nil"/>
          <w:bottom w:val="nil"/>
          <w:right w:val="nil"/>
          <w:between w:val="nil"/>
        </w:pBdr>
        <w:shd w:val="clear" w:color="auto" w:fill="FFFFFF"/>
        <w:jc w:val="both"/>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hd w:val="clear" w:color="auto" w:fill="FFFFFF"/>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el Ing. Oswaldo Valle adjuntó sumilla del autorizado de los ítems controlados.</w:t>
      </w:r>
    </w:p>
    <w:p w:rsidR="006969D0" w:rsidRPr="006969D0" w:rsidRDefault="006969D0" w:rsidP="006969D0">
      <w:pPr>
        <w:ind w:right="-336"/>
        <w:jc w:val="both"/>
        <w:rPr>
          <w:rFonts w:ascii="Arial" w:eastAsiaTheme="minorHAnsi" w:hAnsi="Arial" w:cs="Arial"/>
          <w:color w:val="000000"/>
          <w:sz w:val="22"/>
          <w:szCs w:val="22"/>
          <w:highlight w:val="yellow"/>
          <w:shd w:val="clear" w:color="auto" w:fill="FFFFFF"/>
        </w:rPr>
      </w:pPr>
      <w:r w:rsidRPr="006969D0">
        <w:rPr>
          <w:rStyle w:val="normaltextrun"/>
          <w:rFonts w:ascii="Arial" w:eastAsiaTheme="minorHAnsi" w:hAnsi="Arial" w:cs="Arial"/>
          <w:color w:val="000000"/>
          <w:sz w:val="22"/>
          <w:szCs w:val="22"/>
          <w:highlight w:val="yellow"/>
          <w:shd w:val="clear" w:color="auto" w:fill="FFFFFF"/>
        </w:rPr>
        <w:t xml:space="preserve">En el caso de que sea </w:t>
      </w:r>
      <w:r w:rsidRPr="006969D0">
        <w:rPr>
          <w:rFonts w:ascii="Arial" w:eastAsia="Times New Roman" w:hAnsi="Arial" w:cs="Arial"/>
          <w:color w:val="000000"/>
          <w:sz w:val="22"/>
          <w:szCs w:val="22"/>
          <w:highlight w:val="yellow"/>
        </w:rPr>
        <w:t xml:space="preserve">contratación de soporte y garantía de </w:t>
      </w:r>
      <w:r w:rsidR="0008012B" w:rsidRPr="006969D0">
        <w:rPr>
          <w:rFonts w:ascii="Arial" w:eastAsia="Times New Roman" w:hAnsi="Arial" w:cs="Arial"/>
          <w:color w:val="000000"/>
          <w:sz w:val="22"/>
          <w:szCs w:val="22"/>
          <w:highlight w:val="yellow"/>
        </w:rPr>
        <w:t>fábrica</w:t>
      </w:r>
      <w:r w:rsidRPr="006969D0">
        <w:rPr>
          <w:rFonts w:ascii="Arial" w:eastAsia="Times New Roman" w:hAnsi="Arial" w:cs="Arial"/>
          <w:color w:val="000000"/>
          <w:sz w:val="22"/>
          <w:szCs w:val="22"/>
          <w:highlight w:val="yellow"/>
        </w:rPr>
        <w:t xml:space="preserve"> extendida </w:t>
      </w:r>
      <w:r w:rsidRPr="006969D0">
        <w:rPr>
          <w:rStyle w:val="normaltextrun"/>
          <w:rFonts w:ascii="Arial" w:eastAsiaTheme="minorHAnsi" w:hAnsi="Arial" w:cs="Arial"/>
          <w:color w:val="000000"/>
          <w:sz w:val="22"/>
          <w:szCs w:val="22"/>
          <w:highlight w:val="yellow"/>
          <w:shd w:val="clear" w:color="auto" w:fill="FFFFFF"/>
        </w:rPr>
        <w:t>deberá ir lo siguiente:</w:t>
      </w:r>
    </w:p>
    <w:p w:rsidR="006969D0" w:rsidRPr="006969D0" w:rsidRDefault="006969D0" w:rsidP="006969D0">
      <w:pPr>
        <w:pStyle w:val="Prrafodelista"/>
        <w:ind w:left="360" w:right="-336"/>
        <w:jc w:val="both"/>
        <w:rPr>
          <w:rFonts w:ascii="Arial" w:hAnsi="Arial" w:cs="Arial"/>
          <w:b/>
          <w:bCs/>
          <w:color w:val="000000" w:themeColor="text1"/>
          <w:sz w:val="22"/>
          <w:szCs w:val="22"/>
        </w:rPr>
      </w:pPr>
    </w:p>
    <w:p w:rsidR="006969D0" w:rsidRPr="000116C5" w:rsidRDefault="006969D0" w:rsidP="006969D0">
      <w:pPr>
        <w:numPr>
          <w:ilvl w:val="1"/>
          <w:numId w:val="2"/>
        </w:numPr>
        <w:pBdr>
          <w:top w:val="nil"/>
          <w:left w:val="nil"/>
          <w:bottom w:val="nil"/>
          <w:right w:val="nil"/>
          <w:between w:val="nil"/>
        </w:pBdr>
        <w:shd w:val="clear" w:color="auto" w:fill="FFFFFF"/>
        <w:spacing w:after="160" w:line="259" w:lineRule="auto"/>
        <w:ind w:left="0" w:firstLine="0"/>
        <w:jc w:val="both"/>
        <w:rPr>
          <w:rFonts w:ascii="Arial" w:hAnsi="Arial" w:cs="Arial"/>
          <w:sz w:val="20"/>
          <w:szCs w:val="20"/>
          <w:highlight w:val="green"/>
        </w:rPr>
      </w:pPr>
      <w:r w:rsidRPr="000116C5">
        <w:rPr>
          <w:rFonts w:ascii="Play" w:eastAsia="Play" w:hAnsi="Play" w:cs="Play"/>
          <w:color w:val="000000"/>
          <w:sz w:val="20"/>
          <w:szCs w:val="20"/>
        </w:rPr>
        <w:t>Me</w:t>
      </w:r>
      <w:r w:rsidRPr="006969D0">
        <w:rPr>
          <w:rFonts w:ascii="Play" w:eastAsia="Play" w:hAnsi="Play" w:cs="Play"/>
          <w:color w:val="000000"/>
          <w:sz w:val="20"/>
          <w:szCs w:val="20"/>
        </w:rPr>
        <w:t xml:space="preserve">diante informe del </w:t>
      </w:r>
      <w:r w:rsidRPr="000116C5">
        <w:rPr>
          <w:rFonts w:ascii="Arial" w:hAnsi="Arial" w:cs="Arial"/>
          <w:sz w:val="20"/>
          <w:szCs w:val="20"/>
          <w:highlight w:val="green"/>
        </w:rPr>
        <w:t>DIA-MES-AÑO</w:t>
      </w:r>
      <w:r w:rsidRPr="006969D0">
        <w:rPr>
          <w:rFonts w:ascii="Play" w:eastAsia="Play" w:hAnsi="Play" w:cs="Play"/>
          <w:color w:val="000000"/>
          <w:sz w:val="20"/>
          <w:szCs w:val="20"/>
        </w:rPr>
        <w:t xml:space="preserve"> el T</w:t>
      </w:r>
      <w:r w:rsidRPr="000116C5">
        <w:rPr>
          <w:rFonts w:ascii="Arial" w:hAnsi="Arial" w:cs="Arial"/>
          <w:sz w:val="20"/>
          <w:szCs w:val="20"/>
          <w:highlight w:val="green"/>
        </w:rPr>
        <w:t>ITULO-NOMBRE-CARGO-FUNCIONARIO-UNIDAD REQUIRENTE</w:t>
      </w:r>
      <w:r w:rsidRPr="006969D0">
        <w:rPr>
          <w:rFonts w:ascii="Play" w:eastAsia="Play" w:hAnsi="Play" w:cs="Play"/>
          <w:color w:val="000000"/>
          <w:sz w:val="20"/>
          <w:szCs w:val="20"/>
        </w:rPr>
        <w:t xml:space="preserve">, determina la conveniencia técnico - económico para realizar la </w:t>
      </w:r>
      <w:r w:rsidRPr="000116C5">
        <w:rPr>
          <w:rFonts w:ascii="Arial" w:hAnsi="Arial" w:cs="Arial"/>
          <w:sz w:val="20"/>
          <w:szCs w:val="20"/>
          <w:highlight w:val="green"/>
        </w:rPr>
        <w:t>OBJETO DE CONTRATACIÓN</w:t>
      </w:r>
    </w:p>
    <w:p w:rsidR="00701682" w:rsidRPr="00701682" w:rsidRDefault="00701682" w:rsidP="00701682">
      <w:pPr>
        <w:ind w:right="-336"/>
        <w:jc w:val="both"/>
        <w:rPr>
          <w:rStyle w:val="normaltextrun"/>
          <w:rFonts w:ascii="Arial" w:eastAsiaTheme="minorHAnsi" w:hAnsi="Arial" w:cs="Arial"/>
          <w:color w:val="000000"/>
          <w:sz w:val="22"/>
          <w:szCs w:val="22"/>
          <w:shd w:val="clear" w:color="auto" w:fill="FFFFFF"/>
        </w:rPr>
      </w:pPr>
      <w:r w:rsidRPr="00701682">
        <w:rPr>
          <w:rStyle w:val="normaltextrun"/>
          <w:rFonts w:ascii="Arial" w:eastAsiaTheme="minorHAnsi" w:hAnsi="Arial" w:cs="Arial"/>
          <w:color w:val="000000"/>
          <w:sz w:val="22"/>
          <w:szCs w:val="22"/>
          <w:highlight w:val="yellow"/>
          <w:shd w:val="clear" w:color="auto" w:fill="FFFFFF"/>
        </w:rPr>
        <w:t xml:space="preserve">En el caso de que sea </w:t>
      </w:r>
      <w:r w:rsidRPr="00701682">
        <w:rPr>
          <w:rFonts w:ascii="Arial" w:eastAsia="Times New Roman" w:hAnsi="Arial" w:cs="Arial"/>
          <w:color w:val="000000"/>
          <w:sz w:val="22"/>
          <w:szCs w:val="22"/>
          <w:highlight w:val="yellow"/>
        </w:rPr>
        <w:t xml:space="preserve">contratación de software o licencias </w:t>
      </w:r>
      <w:r w:rsidRPr="00701682">
        <w:rPr>
          <w:rStyle w:val="normaltextrun"/>
          <w:rFonts w:ascii="Arial" w:eastAsiaTheme="minorHAnsi" w:hAnsi="Arial" w:cs="Arial"/>
          <w:color w:val="000000"/>
          <w:sz w:val="22"/>
          <w:szCs w:val="22"/>
          <w:highlight w:val="yellow"/>
          <w:shd w:val="clear" w:color="auto" w:fill="FFFFFF"/>
        </w:rPr>
        <w:t>deberá ir lo siguiente:</w:t>
      </w:r>
    </w:p>
    <w:p w:rsidR="00701682" w:rsidRPr="00701682" w:rsidRDefault="00701682" w:rsidP="00701682">
      <w:pPr>
        <w:pStyle w:val="Prrafodelista"/>
        <w:ind w:left="360" w:right="-336"/>
        <w:jc w:val="both"/>
        <w:rPr>
          <w:rStyle w:val="normaltextrun"/>
          <w:rFonts w:ascii="Arial" w:eastAsiaTheme="minorHAnsi" w:hAnsi="Arial" w:cs="Arial"/>
          <w:color w:val="000000"/>
          <w:sz w:val="22"/>
          <w:szCs w:val="22"/>
          <w:shd w:val="clear" w:color="auto" w:fill="FFFFFF"/>
        </w:rPr>
      </w:pPr>
    </w:p>
    <w:p w:rsidR="00701682" w:rsidRPr="00701682" w:rsidRDefault="00701682" w:rsidP="002D18B5">
      <w:pPr>
        <w:numPr>
          <w:ilvl w:val="1"/>
          <w:numId w:val="2"/>
        </w:numPr>
        <w:pBdr>
          <w:top w:val="nil"/>
          <w:left w:val="nil"/>
          <w:bottom w:val="nil"/>
          <w:right w:val="nil"/>
          <w:between w:val="nil"/>
        </w:pBdr>
        <w:shd w:val="clear" w:color="auto" w:fill="FFFFFF"/>
        <w:spacing w:after="160" w:line="259" w:lineRule="auto"/>
        <w:ind w:left="0" w:firstLine="0"/>
        <w:jc w:val="both"/>
        <w:rPr>
          <w:rFonts w:ascii="Play" w:eastAsia="Play" w:hAnsi="Play" w:cs="Play"/>
          <w:color w:val="000000"/>
          <w:sz w:val="20"/>
          <w:szCs w:val="20"/>
        </w:rPr>
      </w:pPr>
      <w:r w:rsidRPr="00701682">
        <w:rPr>
          <w:rFonts w:ascii="Play" w:eastAsia="Play" w:hAnsi="Play" w:cs="Play"/>
          <w:color w:val="000000"/>
          <w:sz w:val="20"/>
          <w:szCs w:val="20"/>
        </w:rPr>
        <w:t>Mediante informe t</w:t>
      </w:r>
      <w:r w:rsidRPr="00701682">
        <w:rPr>
          <w:rFonts w:ascii="Play" w:eastAsia="Play" w:hAnsi="Play" w:cs="Play" w:hint="eastAsia"/>
          <w:color w:val="000000"/>
          <w:sz w:val="20"/>
          <w:szCs w:val="20"/>
        </w:rPr>
        <w:t>é</w:t>
      </w:r>
      <w:r w:rsidRPr="00701682">
        <w:rPr>
          <w:rFonts w:ascii="Play" w:eastAsia="Play" w:hAnsi="Play" w:cs="Play"/>
          <w:color w:val="000000"/>
          <w:sz w:val="20"/>
          <w:szCs w:val="20"/>
        </w:rPr>
        <w:t xml:space="preserve">cnico del </w:t>
      </w:r>
      <w:r w:rsidR="000116C5" w:rsidRPr="00B60ED7">
        <w:rPr>
          <w:rFonts w:ascii="Arial" w:hAnsi="Arial" w:cs="Arial"/>
          <w:sz w:val="20"/>
          <w:szCs w:val="20"/>
          <w:highlight w:val="green"/>
        </w:rPr>
        <w:t>DIA-MES-AÑO</w:t>
      </w:r>
      <w:r w:rsidRPr="00701682">
        <w:rPr>
          <w:rFonts w:ascii="Play" w:eastAsia="Play" w:hAnsi="Play" w:cs="Play"/>
          <w:color w:val="000000"/>
          <w:sz w:val="20"/>
          <w:szCs w:val="20"/>
        </w:rPr>
        <w:t xml:space="preserve"> para la </w:t>
      </w:r>
      <w:r w:rsidRPr="00701682">
        <w:rPr>
          <w:rFonts w:ascii="Play" w:eastAsia="Play" w:hAnsi="Play" w:cs="Play" w:hint="eastAsia"/>
          <w:color w:val="000000"/>
          <w:sz w:val="20"/>
          <w:szCs w:val="20"/>
        </w:rPr>
        <w:t>“</w:t>
      </w:r>
      <w:r w:rsidRPr="00701682">
        <w:rPr>
          <w:rFonts w:ascii="Play" w:eastAsia="Play" w:hAnsi="Play" w:cs="Play"/>
          <w:color w:val="000000"/>
          <w:sz w:val="20"/>
          <w:szCs w:val="20"/>
          <w:highlight w:val="green"/>
        </w:rPr>
        <w:t>OBJETO DE CONTRATACIÓN</w:t>
      </w:r>
      <w:r w:rsidRPr="00701682">
        <w:rPr>
          <w:rFonts w:ascii="Play" w:eastAsia="Play" w:hAnsi="Play" w:cs="Play" w:hint="eastAsia"/>
          <w:color w:val="000000"/>
          <w:sz w:val="20"/>
          <w:szCs w:val="20"/>
        </w:rPr>
        <w:t>”</w:t>
      </w:r>
      <w:r w:rsidRPr="00701682">
        <w:rPr>
          <w:rFonts w:ascii="Play" w:eastAsia="Play" w:hAnsi="Play" w:cs="Play"/>
          <w:color w:val="000000"/>
          <w:sz w:val="20"/>
          <w:szCs w:val="20"/>
        </w:rPr>
        <w:t>, se informa que el servicio para la “</w:t>
      </w:r>
      <w:r w:rsidRPr="00701682">
        <w:rPr>
          <w:rFonts w:ascii="Play" w:eastAsia="Play" w:hAnsi="Play" w:cs="Play"/>
          <w:color w:val="000000"/>
          <w:sz w:val="20"/>
          <w:szCs w:val="20"/>
          <w:highlight w:val="green"/>
        </w:rPr>
        <w:t>detallar software o licencia que requiere</w:t>
      </w:r>
      <w:r w:rsidRPr="00701682">
        <w:rPr>
          <w:rFonts w:ascii="Play" w:eastAsia="Play" w:hAnsi="Play" w:cs="Play"/>
          <w:color w:val="000000"/>
          <w:sz w:val="20"/>
          <w:szCs w:val="20"/>
        </w:rPr>
        <w:t>” corresponde a la prelaci</w:t>
      </w:r>
      <w:r w:rsidRPr="00701682">
        <w:rPr>
          <w:rFonts w:ascii="Play" w:eastAsia="Play" w:hAnsi="Play" w:cs="Play" w:hint="eastAsia"/>
          <w:color w:val="000000"/>
          <w:sz w:val="20"/>
          <w:szCs w:val="20"/>
        </w:rPr>
        <w:t>ó</w:t>
      </w:r>
      <w:r w:rsidRPr="00701682">
        <w:rPr>
          <w:rFonts w:ascii="Play" w:eastAsia="Play" w:hAnsi="Play" w:cs="Play"/>
          <w:color w:val="000000"/>
          <w:sz w:val="20"/>
          <w:szCs w:val="20"/>
        </w:rPr>
        <w:t xml:space="preserve">n </w:t>
      </w:r>
      <w:r w:rsidRPr="00701682">
        <w:rPr>
          <w:rFonts w:ascii="Play" w:eastAsia="Play" w:hAnsi="Play" w:cs="Play"/>
          <w:color w:val="000000"/>
          <w:sz w:val="20"/>
          <w:szCs w:val="20"/>
          <w:highlight w:val="green"/>
        </w:rPr>
        <w:t>X</w:t>
      </w:r>
      <w:r w:rsidRPr="00701682">
        <w:rPr>
          <w:rFonts w:ascii="Play" w:eastAsia="Play" w:hAnsi="Play" w:cs="Play"/>
          <w:color w:val="000000"/>
          <w:sz w:val="20"/>
          <w:szCs w:val="20"/>
        </w:rPr>
        <w:t>, que determina el Gobierno Electr</w:t>
      </w:r>
      <w:r w:rsidRPr="00701682">
        <w:rPr>
          <w:rFonts w:ascii="Play" w:eastAsia="Play" w:hAnsi="Play" w:cs="Play" w:hint="eastAsia"/>
          <w:color w:val="000000"/>
          <w:sz w:val="20"/>
          <w:szCs w:val="20"/>
        </w:rPr>
        <w:t>ó</w:t>
      </w:r>
      <w:r w:rsidRPr="00701682">
        <w:rPr>
          <w:rFonts w:ascii="Play" w:eastAsia="Play" w:hAnsi="Play" w:cs="Play"/>
          <w:color w:val="000000"/>
          <w:sz w:val="20"/>
          <w:szCs w:val="20"/>
        </w:rPr>
        <w:t>nico que respalda el MINTEL, seg</w:t>
      </w:r>
      <w:r w:rsidRPr="00701682">
        <w:rPr>
          <w:rFonts w:ascii="Play" w:eastAsia="Play" w:hAnsi="Play" w:cs="Play" w:hint="eastAsia"/>
          <w:color w:val="000000"/>
          <w:sz w:val="20"/>
          <w:szCs w:val="20"/>
        </w:rPr>
        <w:t>ú</w:t>
      </w:r>
      <w:r w:rsidRPr="00701682">
        <w:rPr>
          <w:rFonts w:ascii="Play" w:eastAsia="Play" w:hAnsi="Play" w:cs="Play"/>
          <w:color w:val="000000"/>
          <w:sz w:val="20"/>
          <w:szCs w:val="20"/>
        </w:rPr>
        <w:t>n las b</w:t>
      </w:r>
      <w:r w:rsidRPr="00701682">
        <w:rPr>
          <w:rFonts w:ascii="Play" w:eastAsia="Play" w:hAnsi="Play" w:cs="Play" w:hint="eastAsia"/>
          <w:color w:val="000000"/>
          <w:sz w:val="20"/>
          <w:szCs w:val="20"/>
        </w:rPr>
        <w:t>ú</w:t>
      </w:r>
      <w:r w:rsidRPr="00701682">
        <w:rPr>
          <w:rFonts w:ascii="Play" w:eastAsia="Play" w:hAnsi="Play" w:cs="Play"/>
          <w:color w:val="000000"/>
          <w:sz w:val="20"/>
          <w:szCs w:val="20"/>
        </w:rPr>
        <w:t>squedas y soportes que se detallan en dicho documento.</w:t>
      </w:r>
    </w:p>
    <w:p w:rsidR="004730DA" w:rsidRDefault="004730DA">
      <w:pPr>
        <w:jc w:val="both"/>
        <w:rPr>
          <w:rFonts w:ascii="Play" w:eastAsia="Play" w:hAnsi="Play" w:cs="Play"/>
          <w:b/>
          <w:sz w:val="20"/>
          <w:szCs w:val="20"/>
        </w:rPr>
      </w:pPr>
    </w:p>
    <w:p w:rsidR="004730DA" w:rsidRDefault="00CD3D44">
      <w:pPr>
        <w:numPr>
          <w:ilvl w:val="0"/>
          <w:numId w:val="2"/>
        </w:numPr>
        <w:pBdr>
          <w:top w:val="nil"/>
          <w:left w:val="nil"/>
          <w:bottom w:val="nil"/>
          <w:right w:val="nil"/>
          <w:between w:val="nil"/>
        </w:pBdr>
        <w:spacing w:line="259" w:lineRule="auto"/>
        <w:jc w:val="both"/>
        <w:rPr>
          <w:rFonts w:ascii="Play" w:eastAsia="Play" w:hAnsi="Play" w:cs="Play"/>
          <w:b/>
          <w:color w:val="000000"/>
          <w:sz w:val="20"/>
          <w:szCs w:val="20"/>
        </w:rPr>
      </w:pPr>
      <w:r>
        <w:rPr>
          <w:rFonts w:ascii="Play" w:eastAsia="Play" w:hAnsi="Play" w:cs="Play"/>
          <w:b/>
          <w:color w:val="000000"/>
          <w:sz w:val="20"/>
          <w:szCs w:val="20"/>
        </w:rPr>
        <w:t>RAZÓN DE LAS PROFORMAS RECIBIDAS</w:t>
      </w:r>
    </w:p>
    <w:p w:rsidR="004730DA" w:rsidRDefault="004730DA">
      <w:pPr>
        <w:pBdr>
          <w:top w:val="nil"/>
          <w:left w:val="nil"/>
          <w:bottom w:val="nil"/>
          <w:right w:val="nil"/>
          <w:between w:val="nil"/>
        </w:pBdr>
        <w:ind w:left="360"/>
        <w:jc w:val="both"/>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Cumpliendo con lo establecido en la normativa legal correspondiente y el oficio ESPOL-DADQ-OFC-0015-2022 - Política interna para la gestión de cotizaciones;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la necesidad en el portal del SERCOP, con el </w:t>
      </w:r>
      <w:r>
        <w:rPr>
          <w:rFonts w:ascii="Play" w:eastAsia="Play" w:hAnsi="Play" w:cs="Play"/>
          <w:color w:val="000000"/>
          <w:sz w:val="20"/>
          <w:szCs w:val="20"/>
          <w:highlight w:val="green"/>
        </w:rPr>
        <w:t>código</w:t>
      </w:r>
      <w:r>
        <w:rPr>
          <w:rFonts w:ascii="Play" w:eastAsia="Play" w:hAnsi="Play" w:cs="Play"/>
          <w:color w:val="000000"/>
          <w:sz w:val="20"/>
          <w:szCs w:val="20"/>
        </w:rPr>
        <w:t xml:space="preserve"> </w:t>
      </w:r>
      <w:r>
        <w:rPr>
          <w:rFonts w:ascii="Play" w:eastAsia="Play" w:hAnsi="Play" w:cs="Play"/>
          <w:color w:val="000000"/>
          <w:sz w:val="20"/>
          <w:szCs w:val="20"/>
          <w:highlight w:val="green"/>
        </w:rPr>
        <w:t>NIC-XXXXXXX</w:t>
      </w:r>
      <w:r w:rsidR="00E05B83">
        <w:rPr>
          <w:rFonts w:ascii="Play" w:eastAsia="Play" w:hAnsi="Play" w:cs="Play"/>
          <w:color w:val="000000"/>
          <w:sz w:val="20"/>
          <w:szCs w:val="20"/>
        </w:rPr>
        <w:t xml:space="preserve"> </w:t>
      </w:r>
      <w:r w:rsidR="00E05B83" w:rsidRPr="006061A2">
        <w:rPr>
          <w:rFonts w:ascii="Play" w:eastAsia="Play" w:hAnsi="Play" w:cs="Play"/>
          <w:color w:val="000000"/>
          <w:sz w:val="20"/>
          <w:szCs w:val="20"/>
          <w:highlight w:val="green"/>
        </w:rPr>
        <w:t>(enlace de la publicación)</w:t>
      </w:r>
      <w:bookmarkStart w:id="1" w:name="_GoBack"/>
      <w:bookmarkEnd w:id="1"/>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de </w:t>
      </w:r>
      <w:r>
        <w:rPr>
          <w:rFonts w:ascii="Play" w:eastAsia="Play" w:hAnsi="Play" w:cs="Play"/>
          <w:color w:val="000000"/>
          <w:sz w:val="20"/>
          <w:szCs w:val="20"/>
          <w:highlight w:val="yellow"/>
        </w:rPr>
        <w:t>02</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rsidR="004730DA" w:rsidRDefault="004730DA">
      <w:pPr>
        <w:pBdr>
          <w:top w:val="nil"/>
          <w:left w:val="nil"/>
          <w:bottom w:val="nil"/>
          <w:right w:val="nil"/>
          <w:between w:val="nil"/>
        </w:pBdr>
        <w:jc w:val="both"/>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highlight w:val="yellow"/>
        </w:rPr>
      </w:pPr>
      <w:r>
        <w:rPr>
          <w:rFonts w:ascii="Play" w:eastAsia="Play" w:hAnsi="Play" w:cs="Play"/>
          <w:color w:val="000000"/>
          <w:sz w:val="20"/>
          <w:szCs w:val="20"/>
          <w:highlight w:val="yellow"/>
        </w:rPr>
        <w:t>Debido a que el informe de necesidad indica que esta contratación es de carácter URGENTE y habiendo cumplido con la establecido en la política interna para la gestión de cotizaciones se termina la etapa “gestión cotización” y se continúa con el trámite.</w:t>
      </w:r>
    </w:p>
    <w:p w:rsidR="004730DA" w:rsidRDefault="004730DA">
      <w:pPr>
        <w:pBdr>
          <w:top w:val="nil"/>
          <w:left w:val="nil"/>
          <w:bottom w:val="nil"/>
          <w:right w:val="nil"/>
          <w:between w:val="nil"/>
        </w:pBdr>
        <w:jc w:val="both"/>
        <w:rPr>
          <w:rFonts w:ascii="Play" w:eastAsia="Play" w:hAnsi="Play" w:cs="Play"/>
          <w:color w:val="000000"/>
          <w:sz w:val="20"/>
          <w:szCs w:val="20"/>
        </w:rPr>
      </w:pPr>
    </w:p>
    <w:p w:rsidR="004730DA" w:rsidRDefault="00CD3D44">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Por no contar con al menos tres proformas válidas vencido el termino inicial y de acuerdo con el oficio Nro. ESPOL-DADQ-OFC-0015-2022,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por segunda ocasión la necesidad en el portal del SERCOP, con el </w:t>
      </w:r>
      <w:r>
        <w:rPr>
          <w:rFonts w:ascii="Play" w:eastAsia="Play" w:hAnsi="Play" w:cs="Play"/>
          <w:color w:val="000000"/>
          <w:sz w:val="20"/>
          <w:szCs w:val="20"/>
          <w:highlight w:val="green"/>
        </w:rPr>
        <w:t>código NIC-XXXXXX</w:t>
      </w:r>
      <w:r w:rsidR="00E05B83">
        <w:rPr>
          <w:rFonts w:ascii="Play" w:eastAsia="Play" w:hAnsi="Play" w:cs="Play"/>
          <w:color w:val="000000"/>
          <w:sz w:val="20"/>
          <w:szCs w:val="20"/>
        </w:rPr>
        <w:t xml:space="preserve"> </w:t>
      </w:r>
      <w:r w:rsidR="00E05B83" w:rsidRPr="006061A2">
        <w:rPr>
          <w:rFonts w:ascii="Play" w:eastAsia="Play" w:hAnsi="Play" w:cs="Play"/>
          <w:color w:val="000000"/>
          <w:sz w:val="20"/>
          <w:szCs w:val="20"/>
          <w:highlight w:val="green"/>
        </w:rPr>
        <w:t>(enlace de la publicación)</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w:t>
      </w:r>
      <w:r>
        <w:rPr>
          <w:rFonts w:ascii="Play" w:eastAsia="Play" w:hAnsi="Play" w:cs="Play"/>
          <w:color w:val="000000"/>
          <w:sz w:val="20"/>
          <w:szCs w:val="20"/>
          <w:highlight w:val="yellow"/>
        </w:rPr>
        <w:t>03</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rsidR="004730DA" w:rsidRDefault="004730DA">
      <w:pPr>
        <w:jc w:val="both"/>
        <w:rPr>
          <w:rFonts w:ascii="Play" w:eastAsia="Play" w:hAnsi="Play" w:cs="Play"/>
          <w:sz w:val="20"/>
          <w:szCs w:val="20"/>
        </w:rPr>
      </w:pPr>
    </w:p>
    <w:p w:rsidR="004730DA" w:rsidRDefault="00CD3D44">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Habiendo cumplido con la establecido en la normativa legal correspondiente y la política interna para la gestión de cotizaciones se termina la etapa “gestión cotización” y se continúa con el trámite.</w:t>
      </w:r>
    </w:p>
    <w:p w:rsidR="004730DA" w:rsidRDefault="004730DA">
      <w:pPr>
        <w:jc w:val="both"/>
        <w:rPr>
          <w:rFonts w:ascii="Play" w:eastAsia="Play" w:hAnsi="Play" w:cs="Play"/>
          <w:sz w:val="20"/>
          <w:szCs w:val="20"/>
        </w:rPr>
      </w:pPr>
    </w:p>
    <w:p w:rsidR="004730DA" w:rsidRDefault="00E05B83">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sdt>
        <w:sdtPr>
          <w:tag w:val="goog_rdk_0"/>
          <w:id w:val="1673085531"/>
        </w:sdtPr>
        <w:sdtEndPr/>
        <w:sdtContent>
          <w:r w:rsidR="00CD3D44">
            <w:rPr>
              <w:rFonts w:ascii="Arial" w:eastAsia="Arial" w:hAnsi="Arial" w:cs="Arial"/>
              <w:b/>
              <w:color w:val="000000"/>
              <w:sz w:val="20"/>
              <w:szCs w:val="20"/>
            </w:rPr>
            <w:t>ANÁLISIS DEL BIEN O SERVICIO A SER CONTRATADO: ESPECIFICACIONES TÉCNICAS O TÉRMINOS DE REFERENCIA</w:t>
          </w:r>
        </w:sdtContent>
      </w:sdt>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ind w:right="119"/>
        <w:jc w:val="both"/>
        <w:rPr>
          <w:rFonts w:ascii="Play" w:eastAsia="Play" w:hAnsi="Play" w:cs="Play"/>
          <w:color w:val="000000"/>
          <w:sz w:val="20"/>
          <w:szCs w:val="20"/>
        </w:rPr>
      </w:pPr>
      <w:r>
        <w:rPr>
          <w:rFonts w:ascii="Play" w:eastAsia="Play" w:hAnsi="Play" w:cs="Play"/>
          <w:color w:val="000000"/>
          <w:sz w:val="20"/>
          <w:szCs w:val="20"/>
        </w:rPr>
        <w:t>La Escuela Superior Politécnica del Litoral requiere la “</w:t>
      </w:r>
      <w:r>
        <w:rPr>
          <w:rFonts w:ascii="Play" w:eastAsia="Play" w:hAnsi="Play" w:cs="Play"/>
          <w:color w:val="000000"/>
          <w:sz w:val="20"/>
          <w:szCs w:val="20"/>
          <w:highlight w:val="green"/>
        </w:rPr>
        <w:t>OBJETO DEL CONTRATO</w:t>
      </w:r>
      <w:r>
        <w:rPr>
          <w:rFonts w:ascii="Play" w:eastAsia="Play" w:hAnsi="Play" w:cs="Play"/>
          <w:color w:val="1D1B11"/>
          <w:sz w:val="20"/>
          <w:szCs w:val="20"/>
        </w:rPr>
        <w:t>”</w:t>
      </w:r>
      <w:r>
        <w:rPr>
          <w:rFonts w:ascii="Play" w:eastAsia="Play" w:hAnsi="Play" w:cs="Play"/>
          <w:color w:val="000000"/>
          <w:sz w:val="20"/>
          <w:szCs w:val="20"/>
        </w:rPr>
        <w:t xml:space="preserve"> de acuerdo con las condiciones que se describen en el documento término de referencia o especificación técnica según corresponda. </w:t>
      </w:r>
    </w:p>
    <w:p w:rsidR="004730DA" w:rsidRDefault="004730DA">
      <w:pPr>
        <w:ind w:right="119"/>
        <w:jc w:val="both"/>
        <w:rPr>
          <w:rFonts w:ascii="Play" w:eastAsia="Play" w:hAnsi="Play" w:cs="Play"/>
          <w:color w:val="000000"/>
          <w:sz w:val="20"/>
          <w:szCs w:val="20"/>
        </w:rPr>
      </w:pPr>
    </w:p>
    <w:p w:rsidR="004730DA" w:rsidRDefault="00CD3D44">
      <w:pPr>
        <w:ind w:right="119"/>
        <w:jc w:val="both"/>
        <w:rPr>
          <w:rFonts w:ascii="Play" w:eastAsia="Play" w:hAnsi="Play" w:cs="Play"/>
          <w:color w:val="000000"/>
          <w:sz w:val="20"/>
          <w:szCs w:val="20"/>
        </w:rPr>
      </w:pPr>
      <w:r>
        <w:rPr>
          <w:rFonts w:ascii="Play" w:eastAsia="Play" w:hAnsi="Play" w:cs="Play"/>
          <w:color w:val="000000"/>
          <w:sz w:val="20"/>
          <w:szCs w:val="20"/>
          <w:highlight w:val="green"/>
        </w:rPr>
        <w:t>Resumir la especificaciones técnicas o términos de referencia</w:t>
      </w:r>
    </w:p>
    <w:p w:rsidR="004730DA" w:rsidRDefault="004730DA">
      <w:pPr>
        <w:ind w:right="-336"/>
        <w:jc w:val="both"/>
        <w:rPr>
          <w:rFonts w:ascii="Play" w:eastAsia="Play" w:hAnsi="Play" w:cs="Play"/>
          <w:color w:val="000000"/>
          <w:sz w:val="20"/>
          <w:szCs w:val="20"/>
          <w:u w:val="single"/>
        </w:rPr>
      </w:pPr>
    </w:p>
    <w:tbl>
      <w:tblPr>
        <w:tblStyle w:val="a1"/>
        <w:tblW w:w="8488" w:type="dxa"/>
        <w:tblInd w:w="0" w:type="dxa"/>
        <w:tblLayout w:type="fixed"/>
        <w:tblLook w:val="0400" w:firstRow="0" w:lastRow="0" w:firstColumn="0" w:lastColumn="0" w:noHBand="0" w:noVBand="1"/>
      </w:tblPr>
      <w:tblGrid>
        <w:gridCol w:w="1295"/>
        <w:gridCol w:w="1185"/>
        <w:gridCol w:w="4183"/>
        <w:gridCol w:w="915"/>
        <w:gridCol w:w="910"/>
      </w:tblGrid>
      <w:tr w:rsidR="004730DA">
        <w:trPr>
          <w:trHeight w:val="255"/>
        </w:trPr>
        <w:tc>
          <w:tcPr>
            <w:tcW w:w="1295"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No. Solicitud</w:t>
            </w:r>
          </w:p>
        </w:tc>
        <w:tc>
          <w:tcPr>
            <w:tcW w:w="1185" w:type="dxa"/>
            <w:tcBorders>
              <w:top w:val="single" w:sz="4" w:space="0" w:color="000000"/>
              <w:left w:val="nil"/>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Cantidad</w:t>
            </w:r>
          </w:p>
        </w:tc>
        <w:tc>
          <w:tcPr>
            <w:tcW w:w="4183" w:type="dxa"/>
            <w:tcBorders>
              <w:top w:val="single" w:sz="4" w:space="0" w:color="000000"/>
              <w:left w:val="nil"/>
              <w:bottom w:val="single" w:sz="4" w:space="0" w:color="000000"/>
              <w:right w:val="single" w:sz="4" w:space="0" w:color="000000"/>
            </w:tcBorders>
            <w:shd w:val="clear" w:color="auto" w:fill="D5DCE4"/>
            <w:vAlign w:val="bottom"/>
          </w:tcPr>
          <w:p w:rsidR="004730DA" w:rsidRDefault="00CD3D44">
            <w:pPr>
              <w:jc w:val="center"/>
              <w:rPr>
                <w:rFonts w:ascii="Play" w:eastAsia="Play" w:hAnsi="Play" w:cs="Play"/>
                <w:b/>
                <w:sz w:val="20"/>
                <w:szCs w:val="20"/>
              </w:rPr>
            </w:pPr>
            <w:r>
              <w:rPr>
                <w:rFonts w:ascii="Play" w:eastAsia="Play" w:hAnsi="Play" w:cs="Play"/>
                <w:b/>
                <w:sz w:val="20"/>
                <w:szCs w:val="20"/>
              </w:rPr>
              <w:t>Descripción</w:t>
            </w:r>
          </w:p>
        </w:tc>
        <w:tc>
          <w:tcPr>
            <w:tcW w:w="915" w:type="dxa"/>
            <w:tcBorders>
              <w:top w:val="single" w:sz="4" w:space="0" w:color="000000"/>
              <w:left w:val="nil"/>
              <w:bottom w:val="single" w:sz="4" w:space="0" w:color="000000"/>
              <w:right w:val="single" w:sz="4" w:space="0" w:color="000000"/>
            </w:tcBorders>
            <w:shd w:val="clear" w:color="auto" w:fill="D5DCE4"/>
            <w:vAlign w:val="bottom"/>
          </w:tcPr>
          <w:p w:rsidR="004730DA" w:rsidRDefault="00CD3D44">
            <w:pPr>
              <w:jc w:val="center"/>
              <w:rPr>
                <w:rFonts w:ascii="Play" w:eastAsia="Play" w:hAnsi="Play" w:cs="Play"/>
                <w:b/>
                <w:sz w:val="20"/>
                <w:szCs w:val="20"/>
              </w:rPr>
            </w:pPr>
            <w:r>
              <w:rPr>
                <w:rFonts w:ascii="Play" w:eastAsia="Play" w:hAnsi="Play" w:cs="Play"/>
                <w:b/>
                <w:sz w:val="20"/>
                <w:szCs w:val="20"/>
              </w:rPr>
              <w:t>Unidad</w:t>
            </w:r>
          </w:p>
        </w:tc>
        <w:tc>
          <w:tcPr>
            <w:tcW w:w="910" w:type="dxa"/>
            <w:tcBorders>
              <w:top w:val="single" w:sz="4" w:space="0" w:color="000000"/>
              <w:left w:val="nil"/>
              <w:bottom w:val="single" w:sz="4" w:space="0" w:color="000000"/>
              <w:right w:val="single" w:sz="4" w:space="0" w:color="000000"/>
            </w:tcBorders>
            <w:shd w:val="clear" w:color="auto" w:fill="D5DCE4"/>
          </w:tcPr>
          <w:p w:rsidR="004730DA" w:rsidRDefault="00CD3D44">
            <w:pPr>
              <w:jc w:val="center"/>
              <w:rPr>
                <w:rFonts w:ascii="Play" w:eastAsia="Play" w:hAnsi="Play" w:cs="Play"/>
                <w:b/>
                <w:sz w:val="20"/>
                <w:szCs w:val="20"/>
              </w:rPr>
            </w:pPr>
            <w:r>
              <w:rPr>
                <w:rFonts w:ascii="Play" w:eastAsia="Play" w:hAnsi="Play" w:cs="Play"/>
                <w:b/>
                <w:sz w:val="20"/>
                <w:szCs w:val="20"/>
              </w:rPr>
              <w:t>Código CPC</w:t>
            </w:r>
          </w:p>
        </w:tc>
      </w:tr>
      <w:tr w:rsidR="004730DA">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rsidR="004730DA" w:rsidRDefault="004730DA">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rsidR="004730DA" w:rsidRDefault="004730DA">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1295" w:type="dxa"/>
            <w:tcBorders>
              <w:top w:val="nil"/>
              <w:left w:val="single" w:sz="4" w:space="0" w:color="000000"/>
              <w:bottom w:val="nil"/>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1185" w:type="dxa"/>
            <w:tcBorders>
              <w:top w:val="nil"/>
              <w:left w:val="nil"/>
              <w:bottom w:val="nil"/>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4183" w:type="dxa"/>
            <w:tcBorders>
              <w:top w:val="nil"/>
              <w:left w:val="nil"/>
              <w:bottom w:val="nil"/>
              <w:right w:val="single" w:sz="4" w:space="0" w:color="000000"/>
            </w:tcBorders>
            <w:shd w:val="clear" w:color="auto" w:fill="auto"/>
            <w:vAlign w:val="bottom"/>
          </w:tcPr>
          <w:p w:rsidR="004730DA" w:rsidRDefault="004730DA">
            <w:pPr>
              <w:rPr>
                <w:rFonts w:ascii="Play" w:eastAsia="Play" w:hAnsi="Play" w:cs="Play"/>
                <w:sz w:val="20"/>
                <w:szCs w:val="20"/>
              </w:rPr>
            </w:pPr>
          </w:p>
        </w:tc>
        <w:tc>
          <w:tcPr>
            <w:tcW w:w="915" w:type="dxa"/>
            <w:tcBorders>
              <w:top w:val="nil"/>
              <w:left w:val="nil"/>
              <w:bottom w:val="nil"/>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nil"/>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rsidR="004730DA" w:rsidRDefault="004730DA">
            <w:pP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rsidR="004730DA" w:rsidRDefault="004730DA">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910" w:type="dxa"/>
            <w:tcBorders>
              <w:top w:val="nil"/>
              <w:left w:val="nil"/>
              <w:bottom w:val="single" w:sz="4" w:space="0" w:color="000000"/>
              <w:right w:val="single" w:sz="4" w:space="0" w:color="000000"/>
            </w:tcBorders>
          </w:tcPr>
          <w:p w:rsidR="004730DA" w:rsidRDefault="004730DA">
            <w:pPr>
              <w:jc w:val="center"/>
              <w:rPr>
                <w:rFonts w:ascii="Play" w:eastAsia="Play" w:hAnsi="Play" w:cs="Play"/>
                <w:sz w:val="20"/>
                <w:szCs w:val="20"/>
              </w:rPr>
            </w:pPr>
          </w:p>
        </w:tc>
      </w:tr>
    </w:tbl>
    <w:p w:rsidR="004730DA" w:rsidRDefault="004730DA">
      <w:pPr>
        <w:jc w:val="both"/>
        <w:rPr>
          <w:rFonts w:ascii="Play" w:eastAsia="Play" w:hAnsi="Play" w:cs="Play"/>
          <w:sz w:val="20"/>
          <w:szCs w:val="20"/>
        </w:rPr>
      </w:pPr>
    </w:p>
    <w:p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PROFORMAS DE PROVEEDORES DE BIENES, SERVICIOS O CONSULTORÍA A CONTRATAR</w:t>
      </w: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jc w:val="both"/>
        <w:rPr>
          <w:rFonts w:ascii="Play" w:eastAsia="Play" w:hAnsi="Play" w:cs="Play"/>
          <w:sz w:val="20"/>
          <w:szCs w:val="20"/>
        </w:rPr>
      </w:pPr>
      <w:r>
        <w:rPr>
          <w:rFonts w:ascii="Play" w:eastAsia="Play" w:hAnsi="Play" w:cs="Play"/>
          <w:sz w:val="20"/>
          <w:szCs w:val="20"/>
        </w:rPr>
        <w:t>Cumplido el término indicado en el numeral 2, se recibieron las cotizaciones de los proveedores que se detallan a continuación:</w:t>
      </w:r>
    </w:p>
    <w:p w:rsidR="004730DA" w:rsidRDefault="004730DA">
      <w:pPr>
        <w:jc w:val="both"/>
        <w:rPr>
          <w:rFonts w:ascii="Play" w:eastAsia="Play" w:hAnsi="Play" w:cs="Play"/>
          <w:sz w:val="20"/>
          <w:szCs w:val="20"/>
        </w:rPr>
      </w:pPr>
    </w:p>
    <w:tbl>
      <w:tblPr>
        <w:tblStyle w:val="a2"/>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004"/>
        <w:gridCol w:w="1757"/>
        <w:gridCol w:w="1381"/>
        <w:gridCol w:w="1686"/>
        <w:gridCol w:w="1686"/>
      </w:tblGrid>
      <w:tr w:rsidR="001D6189" w:rsidTr="001D6189">
        <w:trPr>
          <w:jc w:val="center"/>
        </w:trPr>
        <w:tc>
          <w:tcPr>
            <w:tcW w:w="1660" w:type="dxa"/>
            <w:shd w:val="clear" w:color="auto" w:fill="auto"/>
          </w:tcPr>
          <w:p w:rsidR="001D6189" w:rsidRDefault="001D6189">
            <w:pPr>
              <w:jc w:val="center"/>
              <w:rPr>
                <w:rFonts w:ascii="Play" w:eastAsia="Play" w:hAnsi="Play" w:cs="Play"/>
                <w:b/>
                <w:sz w:val="20"/>
                <w:szCs w:val="20"/>
              </w:rPr>
            </w:pPr>
            <w:r>
              <w:rPr>
                <w:rFonts w:ascii="Play" w:eastAsia="Play" w:hAnsi="Play" w:cs="Play"/>
                <w:b/>
                <w:sz w:val="20"/>
                <w:szCs w:val="20"/>
              </w:rPr>
              <w:t>RUC</w:t>
            </w:r>
          </w:p>
        </w:tc>
        <w:tc>
          <w:tcPr>
            <w:tcW w:w="2004" w:type="dxa"/>
            <w:shd w:val="clear" w:color="auto" w:fill="auto"/>
          </w:tcPr>
          <w:p w:rsidR="001D6189" w:rsidRDefault="001D6189">
            <w:pPr>
              <w:jc w:val="center"/>
              <w:rPr>
                <w:rFonts w:ascii="Play" w:eastAsia="Play" w:hAnsi="Play" w:cs="Play"/>
                <w:b/>
                <w:sz w:val="20"/>
                <w:szCs w:val="20"/>
              </w:rPr>
            </w:pPr>
            <w:r>
              <w:rPr>
                <w:rFonts w:ascii="Play" w:eastAsia="Play" w:hAnsi="Play" w:cs="Play"/>
                <w:b/>
                <w:sz w:val="20"/>
                <w:szCs w:val="20"/>
              </w:rPr>
              <w:t>Razón social</w:t>
            </w:r>
          </w:p>
        </w:tc>
        <w:tc>
          <w:tcPr>
            <w:tcW w:w="1757" w:type="dxa"/>
            <w:shd w:val="clear" w:color="auto" w:fill="auto"/>
          </w:tcPr>
          <w:p w:rsidR="001D6189" w:rsidRDefault="001D6189">
            <w:pPr>
              <w:jc w:val="center"/>
              <w:rPr>
                <w:rFonts w:ascii="Play" w:eastAsia="Play" w:hAnsi="Play" w:cs="Play"/>
                <w:b/>
                <w:sz w:val="20"/>
                <w:szCs w:val="20"/>
              </w:rPr>
            </w:pPr>
            <w:r>
              <w:rPr>
                <w:rFonts w:ascii="Play" w:eastAsia="Play" w:hAnsi="Play" w:cs="Play"/>
                <w:b/>
                <w:sz w:val="20"/>
                <w:szCs w:val="20"/>
              </w:rPr>
              <w:t>Cotización ($) sin IVA</w:t>
            </w:r>
          </w:p>
        </w:tc>
        <w:tc>
          <w:tcPr>
            <w:tcW w:w="1381" w:type="dxa"/>
          </w:tcPr>
          <w:p w:rsidR="001D6189" w:rsidRDefault="001D6189">
            <w:pPr>
              <w:jc w:val="center"/>
              <w:rPr>
                <w:rFonts w:ascii="Play" w:eastAsia="Play" w:hAnsi="Play" w:cs="Play"/>
                <w:b/>
                <w:sz w:val="20"/>
                <w:szCs w:val="20"/>
              </w:rPr>
            </w:pPr>
            <w:r>
              <w:rPr>
                <w:rFonts w:ascii="Play" w:eastAsia="Play" w:hAnsi="Play" w:cs="Play"/>
                <w:b/>
                <w:sz w:val="20"/>
                <w:szCs w:val="20"/>
              </w:rPr>
              <w:t>Fecha de la cotización</w:t>
            </w:r>
          </w:p>
        </w:tc>
        <w:tc>
          <w:tcPr>
            <w:tcW w:w="1686" w:type="dxa"/>
          </w:tcPr>
          <w:p w:rsidR="001D6189" w:rsidRDefault="001D6189">
            <w:pPr>
              <w:jc w:val="center"/>
              <w:rPr>
                <w:rFonts w:ascii="Play" w:eastAsia="Play" w:hAnsi="Play" w:cs="Play"/>
                <w:b/>
                <w:sz w:val="20"/>
                <w:szCs w:val="20"/>
              </w:rPr>
            </w:pPr>
            <w:r w:rsidRPr="001D6189">
              <w:rPr>
                <w:rFonts w:ascii="Play" w:eastAsia="Play" w:hAnsi="Play" w:cs="Play"/>
                <w:b/>
                <w:sz w:val="20"/>
                <w:szCs w:val="20"/>
              </w:rPr>
              <w:t>Fecha límite de recepción de proformas</w:t>
            </w:r>
          </w:p>
        </w:tc>
        <w:tc>
          <w:tcPr>
            <w:tcW w:w="1686" w:type="dxa"/>
            <w:shd w:val="clear" w:color="auto" w:fill="auto"/>
          </w:tcPr>
          <w:p w:rsidR="001D6189" w:rsidRDefault="001D6189">
            <w:pPr>
              <w:jc w:val="center"/>
              <w:rPr>
                <w:rFonts w:ascii="Play" w:eastAsia="Play" w:hAnsi="Play" w:cs="Play"/>
                <w:b/>
                <w:sz w:val="20"/>
                <w:szCs w:val="20"/>
              </w:rPr>
            </w:pPr>
            <w:r>
              <w:rPr>
                <w:rFonts w:ascii="Play" w:eastAsia="Play" w:hAnsi="Play" w:cs="Play"/>
                <w:b/>
                <w:sz w:val="20"/>
                <w:szCs w:val="20"/>
              </w:rPr>
              <w:t>Observación</w:t>
            </w:r>
          </w:p>
        </w:tc>
      </w:tr>
      <w:tr w:rsidR="001D6189" w:rsidTr="001D6189">
        <w:trPr>
          <w:jc w:val="center"/>
        </w:trPr>
        <w:tc>
          <w:tcPr>
            <w:tcW w:w="1660" w:type="dxa"/>
            <w:shd w:val="clear" w:color="auto" w:fill="auto"/>
          </w:tcPr>
          <w:p w:rsidR="001D6189" w:rsidRDefault="001D6189">
            <w:pPr>
              <w:jc w:val="both"/>
              <w:rPr>
                <w:rFonts w:ascii="Play" w:eastAsia="Play" w:hAnsi="Play" w:cs="Play"/>
                <w:sz w:val="20"/>
                <w:szCs w:val="20"/>
              </w:rPr>
            </w:pPr>
            <w:r>
              <w:rPr>
                <w:rFonts w:ascii="Play" w:eastAsia="Play" w:hAnsi="Play" w:cs="Play"/>
                <w:sz w:val="20"/>
                <w:szCs w:val="20"/>
              </w:rPr>
              <w:t>XXXXXXXX</w:t>
            </w:r>
          </w:p>
        </w:tc>
        <w:tc>
          <w:tcPr>
            <w:tcW w:w="2004" w:type="dxa"/>
            <w:shd w:val="clear" w:color="auto" w:fill="auto"/>
          </w:tcPr>
          <w:p w:rsidR="001D6189" w:rsidRDefault="001D6189">
            <w:pPr>
              <w:jc w:val="both"/>
              <w:rPr>
                <w:rFonts w:ascii="Play" w:eastAsia="Play" w:hAnsi="Play" w:cs="Play"/>
                <w:sz w:val="20"/>
                <w:szCs w:val="20"/>
              </w:rPr>
            </w:pPr>
            <w:r>
              <w:rPr>
                <w:rFonts w:ascii="Play" w:eastAsia="Play" w:hAnsi="Play" w:cs="Play"/>
                <w:sz w:val="20"/>
                <w:szCs w:val="20"/>
              </w:rPr>
              <w:t>XXXXXXXXXXXXX</w:t>
            </w:r>
          </w:p>
        </w:tc>
        <w:tc>
          <w:tcPr>
            <w:tcW w:w="1757" w:type="dxa"/>
            <w:shd w:val="clear" w:color="auto" w:fill="auto"/>
          </w:tcPr>
          <w:p w:rsidR="001D6189" w:rsidRDefault="001D6189">
            <w:pPr>
              <w:jc w:val="right"/>
              <w:rPr>
                <w:rFonts w:ascii="Play" w:eastAsia="Play" w:hAnsi="Play" w:cs="Play"/>
                <w:sz w:val="20"/>
                <w:szCs w:val="20"/>
              </w:rPr>
            </w:pPr>
            <w:proofErr w:type="spellStart"/>
            <w:r>
              <w:rPr>
                <w:rFonts w:ascii="Play" w:eastAsia="Play" w:hAnsi="Play" w:cs="Play"/>
                <w:sz w:val="20"/>
                <w:szCs w:val="20"/>
              </w:rPr>
              <w:t>xxxx</w:t>
            </w:r>
            <w:proofErr w:type="spellEnd"/>
          </w:p>
        </w:tc>
        <w:tc>
          <w:tcPr>
            <w:tcW w:w="1381" w:type="dxa"/>
          </w:tcPr>
          <w:p w:rsidR="001D6189" w:rsidRDefault="001D6189">
            <w:pPr>
              <w:jc w:val="both"/>
              <w:rPr>
                <w:rFonts w:ascii="Play" w:eastAsia="Play" w:hAnsi="Play" w:cs="Play"/>
                <w:sz w:val="20"/>
                <w:szCs w:val="20"/>
              </w:rPr>
            </w:pPr>
            <w:proofErr w:type="spellStart"/>
            <w:r>
              <w:rPr>
                <w:rFonts w:ascii="Play" w:eastAsia="Play" w:hAnsi="Play" w:cs="Play"/>
                <w:sz w:val="20"/>
                <w:szCs w:val="20"/>
              </w:rPr>
              <w:t>xxxx</w:t>
            </w:r>
            <w:proofErr w:type="spellEnd"/>
          </w:p>
        </w:tc>
        <w:tc>
          <w:tcPr>
            <w:tcW w:w="1686" w:type="dxa"/>
          </w:tcPr>
          <w:p w:rsidR="001D6189" w:rsidRDefault="001D6189">
            <w:pPr>
              <w:jc w:val="both"/>
              <w:rPr>
                <w:rFonts w:ascii="Play" w:eastAsia="Play" w:hAnsi="Play" w:cs="Play"/>
                <w:sz w:val="20"/>
                <w:szCs w:val="20"/>
              </w:rPr>
            </w:pPr>
          </w:p>
        </w:tc>
        <w:tc>
          <w:tcPr>
            <w:tcW w:w="1686" w:type="dxa"/>
            <w:shd w:val="clear" w:color="auto" w:fill="auto"/>
          </w:tcPr>
          <w:p w:rsidR="001D6189" w:rsidRDefault="001D6189">
            <w:pPr>
              <w:jc w:val="both"/>
              <w:rPr>
                <w:rFonts w:ascii="Play" w:eastAsia="Play" w:hAnsi="Play" w:cs="Play"/>
                <w:sz w:val="20"/>
                <w:szCs w:val="20"/>
              </w:rPr>
            </w:pPr>
          </w:p>
        </w:tc>
      </w:tr>
      <w:tr w:rsidR="001D6189" w:rsidTr="001D6189">
        <w:trPr>
          <w:jc w:val="center"/>
        </w:trPr>
        <w:tc>
          <w:tcPr>
            <w:tcW w:w="1660" w:type="dxa"/>
            <w:shd w:val="clear" w:color="auto" w:fill="auto"/>
          </w:tcPr>
          <w:p w:rsidR="001D6189" w:rsidRDefault="001D6189">
            <w:pPr>
              <w:jc w:val="both"/>
              <w:rPr>
                <w:rFonts w:ascii="Play" w:eastAsia="Play" w:hAnsi="Play" w:cs="Play"/>
                <w:sz w:val="20"/>
                <w:szCs w:val="20"/>
              </w:rPr>
            </w:pPr>
          </w:p>
        </w:tc>
        <w:tc>
          <w:tcPr>
            <w:tcW w:w="2004" w:type="dxa"/>
            <w:shd w:val="clear" w:color="auto" w:fill="auto"/>
          </w:tcPr>
          <w:p w:rsidR="001D6189" w:rsidRDefault="001D6189">
            <w:pPr>
              <w:jc w:val="both"/>
              <w:rPr>
                <w:rFonts w:ascii="Play" w:eastAsia="Play" w:hAnsi="Play" w:cs="Play"/>
                <w:sz w:val="20"/>
                <w:szCs w:val="20"/>
              </w:rPr>
            </w:pPr>
          </w:p>
        </w:tc>
        <w:tc>
          <w:tcPr>
            <w:tcW w:w="1757" w:type="dxa"/>
            <w:shd w:val="clear" w:color="auto" w:fill="auto"/>
          </w:tcPr>
          <w:p w:rsidR="001D6189" w:rsidRDefault="001D6189">
            <w:pPr>
              <w:jc w:val="both"/>
              <w:rPr>
                <w:rFonts w:ascii="Play" w:eastAsia="Play" w:hAnsi="Play" w:cs="Play"/>
                <w:sz w:val="20"/>
                <w:szCs w:val="20"/>
              </w:rPr>
            </w:pPr>
          </w:p>
        </w:tc>
        <w:tc>
          <w:tcPr>
            <w:tcW w:w="1381" w:type="dxa"/>
          </w:tcPr>
          <w:p w:rsidR="001D6189" w:rsidRDefault="001D6189">
            <w:pPr>
              <w:jc w:val="both"/>
              <w:rPr>
                <w:rFonts w:ascii="Play" w:eastAsia="Play" w:hAnsi="Play" w:cs="Play"/>
                <w:sz w:val="20"/>
                <w:szCs w:val="20"/>
              </w:rPr>
            </w:pPr>
          </w:p>
        </w:tc>
        <w:tc>
          <w:tcPr>
            <w:tcW w:w="1686" w:type="dxa"/>
          </w:tcPr>
          <w:p w:rsidR="001D6189" w:rsidRDefault="001D6189">
            <w:pPr>
              <w:jc w:val="both"/>
              <w:rPr>
                <w:rFonts w:ascii="Play" w:eastAsia="Play" w:hAnsi="Play" w:cs="Play"/>
                <w:sz w:val="20"/>
                <w:szCs w:val="20"/>
              </w:rPr>
            </w:pPr>
          </w:p>
        </w:tc>
        <w:tc>
          <w:tcPr>
            <w:tcW w:w="1686" w:type="dxa"/>
            <w:shd w:val="clear" w:color="auto" w:fill="auto"/>
          </w:tcPr>
          <w:p w:rsidR="001D6189" w:rsidRDefault="001D6189">
            <w:pPr>
              <w:jc w:val="both"/>
              <w:rPr>
                <w:rFonts w:ascii="Play" w:eastAsia="Play" w:hAnsi="Play" w:cs="Play"/>
                <w:sz w:val="20"/>
                <w:szCs w:val="20"/>
              </w:rPr>
            </w:pPr>
          </w:p>
        </w:tc>
      </w:tr>
    </w:tbl>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REVISIÓN DE INHABILIDADES</w:t>
      </w: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jc w:val="both"/>
        <w:rPr>
          <w:rFonts w:ascii="Play" w:eastAsia="Play" w:hAnsi="Play" w:cs="Play"/>
          <w:sz w:val="20"/>
          <w:szCs w:val="20"/>
        </w:rPr>
      </w:pPr>
      <w:r>
        <w:rPr>
          <w:rFonts w:ascii="Play" w:eastAsia="Play" w:hAnsi="Play" w:cs="Play"/>
          <w:sz w:val="20"/>
          <w:szCs w:val="20"/>
        </w:rPr>
        <w:t xml:space="preserve">Mediante las debidas revisiones en el SOCE de acuerdo a lo establecido en el artículo 18 y 251 del RGLOSNCP, se validó que los oferentes se encuentren habilitados, tengan la actividad comercial acorde al objeto de contratación y no hayan sido declarados contratistas incumplidos. </w:t>
      </w:r>
    </w:p>
    <w:p w:rsidR="004730DA" w:rsidRDefault="004730DA">
      <w:pPr>
        <w:jc w:val="both"/>
        <w:rPr>
          <w:rFonts w:ascii="Play" w:eastAsia="Play" w:hAnsi="Play" w:cs="Play"/>
          <w:sz w:val="20"/>
          <w:szCs w:val="20"/>
        </w:rPr>
      </w:pPr>
    </w:p>
    <w:p w:rsidR="004730DA" w:rsidRDefault="00CD3D44">
      <w:pPr>
        <w:jc w:val="both"/>
        <w:rPr>
          <w:rFonts w:ascii="Play" w:eastAsia="Play" w:hAnsi="Play" w:cs="Play"/>
          <w:sz w:val="20"/>
          <w:szCs w:val="20"/>
        </w:rPr>
      </w:pPr>
      <w:r>
        <w:rPr>
          <w:rFonts w:ascii="Play" w:eastAsia="Play" w:hAnsi="Play" w:cs="Play"/>
          <w:sz w:val="20"/>
          <w:szCs w:val="20"/>
        </w:rPr>
        <w:t>Se adjuntan los respaldos con los que se determinó las proformas de los proveedores que pueden ser consideradas o no, para el presente proceso de contratación, según el siguiente detalle:</w:t>
      </w:r>
    </w:p>
    <w:p w:rsidR="004730DA" w:rsidRDefault="004730DA">
      <w:pPr>
        <w:jc w:val="both"/>
        <w:rPr>
          <w:rFonts w:ascii="Play" w:eastAsia="Play" w:hAnsi="Play" w:cs="Play"/>
          <w:sz w:val="20"/>
          <w:szCs w:val="20"/>
        </w:rPr>
      </w:pPr>
    </w:p>
    <w:tbl>
      <w:tblPr>
        <w:tblStyle w:val="a3"/>
        <w:tblW w:w="8519" w:type="dxa"/>
        <w:tblInd w:w="0" w:type="dxa"/>
        <w:tblLayout w:type="fixed"/>
        <w:tblLook w:val="0400" w:firstRow="0" w:lastRow="0" w:firstColumn="0" w:lastColumn="0" w:noHBand="0" w:noVBand="1"/>
      </w:tblPr>
      <w:tblGrid>
        <w:gridCol w:w="1435"/>
        <w:gridCol w:w="2360"/>
        <w:gridCol w:w="2363"/>
        <w:gridCol w:w="2361"/>
      </w:tblGrid>
      <w:tr w:rsidR="004730DA">
        <w:trPr>
          <w:trHeight w:val="313"/>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RUBRO</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Razón social 1</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Razón social 2</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Razón social 3</w:t>
            </w:r>
          </w:p>
        </w:tc>
      </w:tr>
      <w:tr w:rsidR="004730DA">
        <w:trPr>
          <w:trHeight w:val="313"/>
        </w:trPr>
        <w:tc>
          <w:tcPr>
            <w:tcW w:w="1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widowControl w:val="0"/>
              <w:pBdr>
                <w:top w:val="nil"/>
                <w:left w:val="nil"/>
                <w:bottom w:val="nil"/>
                <w:right w:val="nil"/>
                <w:between w:val="nil"/>
              </w:pBdr>
              <w:spacing w:line="276" w:lineRule="auto"/>
              <w:rPr>
                <w:rFonts w:ascii="Play" w:eastAsia="Play" w:hAnsi="Play" w:cs="Play"/>
                <w:b/>
                <w:sz w:val="20"/>
                <w:szCs w:val="20"/>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 xml:space="preserve"> # RUC</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 RUC</w:t>
            </w:r>
          </w:p>
        </w:tc>
      </w:tr>
      <w:tr w:rsidR="004730DA">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ESTADO RUC</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 xml:space="preserve">ACTIVO </w:t>
            </w:r>
          </w:p>
          <w:p w:rsidR="004730DA" w:rsidRDefault="00CD3D44">
            <w:pPr>
              <w:jc w:val="center"/>
              <w:rPr>
                <w:rFonts w:ascii="Play" w:eastAsia="Play" w:hAnsi="Play" w:cs="Play"/>
                <w:sz w:val="20"/>
                <w:szCs w:val="20"/>
              </w:rPr>
            </w:pPr>
            <w:r>
              <w:rPr>
                <w:rFonts w:ascii="Play" w:eastAsia="Play" w:hAnsi="Play" w:cs="Play"/>
                <w:sz w:val="20"/>
                <w:szCs w:val="20"/>
              </w:rPr>
              <w:t>INACTIVO</w:t>
            </w:r>
          </w:p>
          <w:p w:rsidR="004730DA" w:rsidRDefault="00CD3D44">
            <w:pPr>
              <w:jc w:val="center"/>
              <w:rPr>
                <w:rFonts w:ascii="Play" w:eastAsia="Play" w:hAnsi="Play" w:cs="Play"/>
                <w:sz w:val="20"/>
                <w:szCs w:val="20"/>
              </w:rPr>
            </w:pPr>
            <w:r>
              <w:rPr>
                <w:rFonts w:ascii="Play" w:eastAsia="Play" w:hAnsi="Play" w:cs="Play"/>
                <w:sz w:val="20"/>
                <w:szCs w:val="20"/>
              </w:rPr>
              <w:t>SUSPENDIDO</w:t>
            </w:r>
          </w:p>
          <w:p w:rsidR="004730DA" w:rsidRDefault="00CD3D44">
            <w:pPr>
              <w:jc w:val="center"/>
              <w:rPr>
                <w:rFonts w:ascii="Play" w:eastAsia="Play" w:hAnsi="Play" w:cs="Play"/>
                <w:sz w:val="20"/>
                <w:szCs w:val="20"/>
              </w:rPr>
            </w:pPr>
            <w:r>
              <w:rPr>
                <w:rFonts w:ascii="Play" w:eastAsia="Play" w:hAnsi="Play" w:cs="Play"/>
                <w:sz w:val="20"/>
                <w:szCs w:val="20"/>
              </w:rPr>
              <w:t xml:space="preserve"> (Verificar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r>
      <w:tr w:rsidR="004730DA">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ACTIVIDAD ECONOMICA</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Detallar lo que indica el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r>
      <w:tr w:rsidR="004730DA">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ESTADO 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HABILITADO</w:t>
            </w:r>
          </w:p>
          <w:p w:rsidR="004730DA" w:rsidRDefault="00CD3D44">
            <w:pPr>
              <w:jc w:val="center"/>
              <w:rPr>
                <w:rFonts w:ascii="Play" w:eastAsia="Play" w:hAnsi="Play" w:cs="Play"/>
                <w:sz w:val="20"/>
                <w:szCs w:val="20"/>
              </w:rPr>
            </w:pPr>
            <w:r>
              <w:rPr>
                <w:rFonts w:ascii="Play" w:eastAsia="Play" w:hAnsi="Play" w:cs="Play"/>
                <w:sz w:val="20"/>
                <w:szCs w:val="20"/>
              </w:rPr>
              <w:t>NO HABILITADO</w:t>
            </w:r>
          </w:p>
          <w:p w:rsidR="004730DA" w:rsidRDefault="00CD3D44">
            <w:pPr>
              <w:jc w:val="center"/>
              <w:rPr>
                <w:rFonts w:ascii="Play" w:eastAsia="Play" w:hAnsi="Play" w:cs="Play"/>
                <w:sz w:val="20"/>
                <w:szCs w:val="20"/>
              </w:rPr>
            </w:pPr>
            <w:r>
              <w:rPr>
                <w:rFonts w:ascii="Play" w:eastAsia="Play" w:hAnsi="Play" w:cs="Play"/>
                <w:sz w:val="20"/>
                <w:szCs w:val="20"/>
              </w:rPr>
              <w:t>NO REGISTRADO</w:t>
            </w:r>
          </w:p>
          <w:p w:rsidR="004730DA" w:rsidRDefault="00CD3D44">
            <w:pPr>
              <w:jc w:val="center"/>
              <w:rPr>
                <w:rFonts w:ascii="Play" w:eastAsia="Play" w:hAnsi="Play" w:cs="Play"/>
                <w:sz w:val="20"/>
                <w:szCs w:val="20"/>
              </w:rPr>
            </w:pPr>
            <w:r>
              <w:rPr>
                <w:rFonts w:ascii="Play" w:eastAsia="Play" w:hAnsi="Play" w:cs="Play"/>
                <w:sz w:val="20"/>
                <w:szCs w:val="20"/>
              </w:rPr>
              <w:t>PASIVO</w:t>
            </w:r>
          </w:p>
          <w:p w:rsidR="004730DA" w:rsidRDefault="00CD3D44">
            <w:pPr>
              <w:jc w:val="center"/>
              <w:rPr>
                <w:rFonts w:ascii="Play" w:eastAsia="Play" w:hAnsi="Play" w:cs="Play"/>
                <w:sz w:val="20"/>
                <w:szCs w:val="20"/>
              </w:rPr>
            </w:pPr>
            <w:r>
              <w:rPr>
                <w:rFonts w:ascii="Play" w:eastAsia="Play" w:hAnsi="Play" w:cs="Play"/>
                <w:sz w:val="20"/>
                <w:szCs w:val="20"/>
              </w:rPr>
              <w:t>(Verificar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r>
      <w:tr w:rsidR="004730DA">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No es contratista incumplido</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r>
    </w:tbl>
    <w:p w:rsidR="004730DA" w:rsidRDefault="00CD3D44">
      <w:pPr>
        <w:jc w:val="both"/>
        <w:rPr>
          <w:rFonts w:ascii="Play" w:eastAsia="Play" w:hAnsi="Play" w:cs="Play"/>
          <w:b/>
          <w:i/>
          <w:sz w:val="20"/>
          <w:szCs w:val="20"/>
        </w:rPr>
      </w:pPr>
      <w:r>
        <w:rPr>
          <w:rFonts w:ascii="Play" w:eastAsia="Play" w:hAnsi="Play" w:cs="Play"/>
          <w:b/>
          <w:i/>
          <w:sz w:val="20"/>
          <w:szCs w:val="20"/>
        </w:rPr>
        <w:t>En caso de incumplimiento de algún proveedor, indicar en este punto que por esa razón no será considerada su cotización.</w:t>
      </w:r>
    </w:p>
    <w:p w:rsidR="004730DA" w:rsidRDefault="004730DA">
      <w:pPr>
        <w:jc w:val="both"/>
        <w:rPr>
          <w:rFonts w:ascii="Play" w:eastAsia="Play" w:hAnsi="Play" w:cs="Play"/>
          <w:b/>
          <w:i/>
          <w:sz w:val="20"/>
          <w:szCs w:val="20"/>
        </w:rPr>
      </w:pPr>
    </w:p>
    <w:p w:rsidR="004730DA" w:rsidRDefault="00CD3D44">
      <w:pPr>
        <w:jc w:val="both"/>
        <w:rPr>
          <w:rFonts w:ascii="Play" w:eastAsia="Play" w:hAnsi="Play" w:cs="Play"/>
          <w:b/>
          <w:sz w:val="20"/>
          <w:szCs w:val="20"/>
        </w:rPr>
      </w:pPr>
      <w:bookmarkStart w:id="2" w:name="_heading=h.vhnocj45pl1d" w:colFirst="0" w:colLast="0"/>
      <w:bookmarkEnd w:id="2"/>
      <w:r>
        <w:rPr>
          <w:rFonts w:ascii="Play" w:eastAsia="Play" w:hAnsi="Play" w:cs="Play"/>
          <w:b/>
          <w:sz w:val="20"/>
          <w:szCs w:val="20"/>
        </w:rPr>
        <w:t>5.1 Declaración de vinculación específica aplicable a los procedimientos de Contratación Pública.</w:t>
      </w:r>
    </w:p>
    <w:p w:rsidR="004730DA" w:rsidRDefault="004730DA">
      <w:pPr>
        <w:jc w:val="both"/>
        <w:rPr>
          <w:rFonts w:ascii="Play" w:eastAsia="Play" w:hAnsi="Play" w:cs="Play"/>
          <w:b/>
          <w:sz w:val="20"/>
          <w:szCs w:val="20"/>
        </w:rPr>
      </w:pPr>
    </w:p>
    <w:tbl>
      <w:tblPr>
        <w:tblStyle w:val="a4"/>
        <w:tblW w:w="10467" w:type="dxa"/>
        <w:jc w:val="center"/>
        <w:tblInd w:w="0" w:type="dxa"/>
        <w:tblLayout w:type="fixed"/>
        <w:tblLook w:val="0400" w:firstRow="0" w:lastRow="0" w:firstColumn="0" w:lastColumn="0" w:noHBand="0" w:noVBand="1"/>
      </w:tblPr>
      <w:tblGrid>
        <w:gridCol w:w="643"/>
        <w:gridCol w:w="1000"/>
        <w:gridCol w:w="806"/>
        <w:gridCol w:w="997"/>
        <w:gridCol w:w="1415"/>
        <w:gridCol w:w="1000"/>
        <w:gridCol w:w="806"/>
        <w:gridCol w:w="997"/>
        <w:gridCol w:w="1000"/>
        <w:gridCol w:w="806"/>
        <w:gridCol w:w="997"/>
      </w:tblGrid>
      <w:tr w:rsidR="004730DA">
        <w:trPr>
          <w:trHeight w:val="268"/>
          <w:jc w:val="center"/>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730DA" w:rsidRDefault="00CD3D44">
            <w:pPr>
              <w:jc w:val="center"/>
              <w:rPr>
                <w:b/>
                <w:color w:val="000000"/>
                <w:sz w:val="20"/>
                <w:szCs w:val="20"/>
              </w:rPr>
            </w:pPr>
            <w:r>
              <w:rPr>
                <w:b/>
                <w:color w:val="000000"/>
                <w:sz w:val="20"/>
                <w:szCs w:val="20"/>
              </w:rPr>
              <w:t>PROVEEDOR</w:t>
            </w:r>
          </w:p>
        </w:tc>
        <w:tc>
          <w:tcPr>
            <w:tcW w:w="4218" w:type="dxa"/>
            <w:gridSpan w:val="4"/>
            <w:tcBorders>
              <w:top w:val="single" w:sz="4" w:space="0" w:color="000000"/>
              <w:left w:val="nil"/>
              <w:bottom w:val="single" w:sz="4" w:space="0" w:color="000000"/>
              <w:right w:val="single" w:sz="4" w:space="0" w:color="000000"/>
            </w:tcBorders>
            <w:shd w:val="clear" w:color="auto" w:fill="D9E1F2"/>
            <w:vAlign w:val="bottom"/>
          </w:tcPr>
          <w:p w:rsidR="004730DA" w:rsidRDefault="00CD3D44">
            <w:pPr>
              <w:jc w:val="center"/>
              <w:rPr>
                <w:b/>
                <w:color w:val="000000"/>
                <w:sz w:val="20"/>
                <w:szCs w:val="20"/>
              </w:rPr>
            </w:pPr>
            <w:r>
              <w:rPr>
                <w:b/>
                <w:color w:val="000000"/>
                <w:sz w:val="20"/>
                <w:szCs w:val="20"/>
              </w:rPr>
              <w:t>ACCIONISTA</w:t>
            </w:r>
          </w:p>
        </w:tc>
        <w:tc>
          <w:tcPr>
            <w:tcW w:w="2803" w:type="dxa"/>
            <w:gridSpan w:val="3"/>
            <w:tcBorders>
              <w:top w:val="single" w:sz="4" w:space="0" w:color="000000"/>
              <w:left w:val="nil"/>
              <w:bottom w:val="single" w:sz="4" w:space="0" w:color="000000"/>
              <w:right w:val="single" w:sz="4" w:space="0" w:color="000000"/>
            </w:tcBorders>
            <w:shd w:val="clear" w:color="auto" w:fill="E2EFDA"/>
            <w:vAlign w:val="bottom"/>
          </w:tcPr>
          <w:p w:rsidR="004730DA" w:rsidRDefault="00CD3D44">
            <w:pPr>
              <w:jc w:val="center"/>
              <w:rPr>
                <w:b/>
                <w:color w:val="000000"/>
                <w:sz w:val="20"/>
                <w:szCs w:val="20"/>
              </w:rPr>
            </w:pPr>
            <w:r>
              <w:rPr>
                <w:b/>
                <w:color w:val="000000"/>
                <w:sz w:val="20"/>
                <w:szCs w:val="20"/>
              </w:rPr>
              <w:t>ADMINISTRADORES</w:t>
            </w:r>
          </w:p>
        </w:tc>
        <w:tc>
          <w:tcPr>
            <w:tcW w:w="1803" w:type="dxa"/>
            <w:gridSpan w:val="2"/>
            <w:tcBorders>
              <w:top w:val="single" w:sz="4" w:space="0" w:color="000000"/>
              <w:left w:val="nil"/>
              <w:bottom w:val="single" w:sz="4" w:space="0" w:color="000000"/>
              <w:right w:val="single" w:sz="4" w:space="0" w:color="000000"/>
            </w:tcBorders>
            <w:shd w:val="clear" w:color="auto" w:fill="FFF2CC"/>
            <w:vAlign w:val="bottom"/>
          </w:tcPr>
          <w:p w:rsidR="004730DA" w:rsidRDefault="00CD3D44">
            <w:pPr>
              <w:jc w:val="center"/>
              <w:rPr>
                <w:b/>
                <w:color w:val="000000"/>
                <w:sz w:val="20"/>
                <w:szCs w:val="20"/>
              </w:rPr>
            </w:pPr>
            <w:r>
              <w:rPr>
                <w:b/>
                <w:color w:val="000000"/>
                <w:sz w:val="20"/>
                <w:szCs w:val="20"/>
              </w:rPr>
              <w:t>BENEFICIARIO</w:t>
            </w:r>
          </w:p>
        </w:tc>
      </w:tr>
      <w:tr w:rsidR="004730DA">
        <w:trPr>
          <w:trHeight w:val="684"/>
          <w:jc w:val="center"/>
        </w:trPr>
        <w:tc>
          <w:tcPr>
            <w:tcW w:w="643" w:type="dxa"/>
            <w:tcBorders>
              <w:top w:val="nil"/>
              <w:left w:val="single" w:sz="4" w:space="0" w:color="000000"/>
              <w:bottom w:val="nil"/>
              <w:right w:val="single" w:sz="4" w:space="0" w:color="000000"/>
            </w:tcBorders>
            <w:shd w:val="clear" w:color="auto" w:fill="auto"/>
            <w:vAlign w:val="center"/>
          </w:tcPr>
          <w:p w:rsidR="004730DA" w:rsidRDefault="00CD3D44">
            <w:pPr>
              <w:jc w:val="center"/>
              <w:rPr>
                <w:b/>
                <w:color w:val="000000"/>
                <w:sz w:val="20"/>
                <w:szCs w:val="20"/>
              </w:rPr>
            </w:pPr>
            <w:r>
              <w:rPr>
                <w:b/>
                <w:color w:val="000000"/>
                <w:sz w:val="20"/>
                <w:szCs w:val="20"/>
              </w:rPr>
              <w:t> </w:t>
            </w:r>
          </w:p>
        </w:tc>
        <w:tc>
          <w:tcPr>
            <w:tcW w:w="1000" w:type="dxa"/>
            <w:tcBorders>
              <w:top w:val="nil"/>
              <w:left w:val="nil"/>
              <w:bottom w:val="nil"/>
              <w:right w:val="single" w:sz="4" w:space="0" w:color="000000"/>
            </w:tcBorders>
            <w:shd w:val="clear" w:color="auto" w:fill="FCE4D6"/>
            <w:vAlign w:val="center"/>
          </w:tcPr>
          <w:p w:rsidR="004730DA" w:rsidRDefault="00CD3D44">
            <w:pPr>
              <w:jc w:val="center"/>
              <w:rPr>
                <w:b/>
                <w:color w:val="000000"/>
                <w:sz w:val="20"/>
                <w:szCs w:val="20"/>
              </w:rPr>
            </w:pPr>
            <w:r>
              <w:rPr>
                <w:b/>
                <w:color w:val="000000"/>
                <w:sz w:val="20"/>
                <w:szCs w:val="20"/>
              </w:rPr>
              <w:t>ESPOSO/A (PERSONA NATURAL)</w:t>
            </w:r>
          </w:p>
        </w:tc>
        <w:tc>
          <w:tcPr>
            <w:tcW w:w="806" w:type="dxa"/>
            <w:tcBorders>
              <w:top w:val="nil"/>
              <w:left w:val="nil"/>
              <w:bottom w:val="nil"/>
              <w:right w:val="single" w:sz="4" w:space="0" w:color="000000"/>
            </w:tcBorders>
            <w:shd w:val="clear" w:color="auto" w:fill="D9E1F2"/>
            <w:vAlign w:val="center"/>
          </w:tcPr>
          <w:p w:rsidR="004730DA" w:rsidRDefault="00CD3D44">
            <w:pPr>
              <w:jc w:val="center"/>
              <w:rPr>
                <w:b/>
                <w:color w:val="000000"/>
                <w:sz w:val="20"/>
                <w:szCs w:val="20"/>
              </w:rPr>
            </w:pPr>
            <w:r>
              <w:rPr>
                <w:b/>
                <w:color w:val="000000"/>
                <w:sz w:val="20"/>
                <w:szCs w:val="20"/>
              </w:rPr>
              <w:t>CEDULA</w:t>
            </w:r>
          </w:p>
        </w:tc>
        <w:tc>
          <w:tcPr>
            <w:tcW w:w="997" w:type="dxa"/>
            <w:tcBorders>
              <w:top w:val="nil"/>
              <w:left w:val="nil"/>
              <w:bottom w:val="nil"/>
              <w:right w:val="single" w:sz="4" w:space="0" w:color="000000"/>
            </w:tcBorders>
            <w:shd w:val="clear" w:color="auto" w:fill="D9E1F2"/>
            <w:vAlign w:val="center"/>
          </w:tcPr>
          <w:p w:rsidR="004730DA" w:rsidRDefault="00CD3D44">
            <w:pPr>
              <w:jc w:val="center"/>
              <w:rPr>
                <w:b/>
                <w:color w:val="000000"/>
                <w:sz w:val="20"/>
                <w:szCs w:val="20"/>
              </w:rPr>
            </w:pPr>
            <w:r>
              <w:rPr>
                <w:b/>
                <w:color w:val="000000"/>
                <w:sz w:val="20"/>
                <w:szCs w:val="20"/>
              </w:rPr>
              <w:t>NOMBRES</w:t>
            </w:r>
          </w:p>
        </w:tc>
        <w:tc>
          <w:tcPr>
            <w:tcW w:w="1415" w:type="dxa"/>
            <w:tcBorders>
              <w:top w:val="nil"/>
              <w:left w:val="nil"/>
              <w:bottom w:val="nil"/>
              <w:right w:val="single" w:sz="4" w:space="0" w:color="000000"/>
            </w:tcBorders>
            <w:shd w:val="clear" w:color="auto" w:fill="D9E1F2"/>
            <w:vAlign w:val="center"/>
          </w:tcPr>
          <w:p w:rsidR="004730DA" w:rsidRDefault="00CD3D44">
            <w:pPr>
              <w:jc w:val="center"/>
              <w:rPr>
                <w:b/>
                <w:color w:val="000000"/>
                <w:sz w:val="20"/>
                <w:szCs w:val="20"/>
              </w:rPr>
            </w:pPr>
            <w:r>
              <w:rPr>
                <w:b/>
                <w:color w:val="000000"/>
                <w:sz w:val="20"/>
                <w:szCs w:val="20"/>
              </w:rPr>
              <w:t>% PARTICIPACION</w:t>
            </w:r>
          </w:p>
        </w:tc>
        <w:tc>
          <w:tcPr>
            <w:tcW w:w="1000" w:type="dxa"/>
            <w:tcBorders>
              <w:top w:val="nil"/>
              <w:left w:val="nil"/>
              <w:bottom w:val="nil"/>
              <w:right w:val="single" w:sz="4" w:space="0" w:color="000000"/>
            </w:tcBorders>
            <w:shd w:val="clear" w:color="auto" w:fill="D9E1F2"/>
            <w:vAlign w:val="center"/>
          </w:tcPr>
          <w:p w:rsidR="004730DA" w:rsidRDefault="00CD3D44">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E2EFDA"/>
            <w:vAlign w:val="center"/>
          </w:tcPr>
          <w:p w:rsidR="004730DA" w:rsidRDefault="00CD3D44">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E2EFDA"/>
            <w:vAlign w:val="center"/>
          </w:tcPr>
          <w:p w:rsidR="004730DA" w:rsidRDefault="00CD3D44">
            <w:pPr>
              <w:jc w:val="center"/>
              <w:rPr>
                <w:b/>
                <w:color w:val="000000"/>
                <w:sz w:val="20"/>
                <w:szCs w:val="20"/>
              </w:rPr>
            </w:pPr>
            <w:r>
              <w:rPr>
                <w:b/>
                <w:color w:val="000000"/>
                <w:sz w:val="20"/>
                <w:szCs w:val="20"/>
              </w:rPr>
              <w:t>NOMBRES</w:t>
            </w:r>
          </w:p>
        </w:tc>
        <w:tc>
          <w:tcPr>
            <w:tcW w:w="1000" w:type="dxa"/>
            <w:tcBorders>
              <w:top w:val="nil"/>
              <w:left w:val="nil"/>
              <w:bottom w:val="single" w:sz="4" w:space="0" w:color="000000"/>
              <w:right w:val="single" w:sz="4" w:space="0" w:color="000000"/>
            </w:tcBorders>
            <w:shd w:val="clear" w:color="auto" w:fill="E2EFDA"/>
            <w:vAlign w:val="center"/>
          </w:tcPr>
          <w:p w:rsidR="004730DA" w:rsidRDefault="00CD3D44">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FFF2CC"/>
            <w:vAlign w:val="center"/>
          </w:tcPr>
          <w:p w:rsidR="004730DA" w:rsidRDefault="00CD3D44">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FFF2CC"/>
            <w:vAlign w:val="center"/>
          </w:tcPr>
          <w:p w:rsidR="004730DA" w:rsidRDefault="00CD3D44">
            <w:pPr>
              <w:jc w:val="center"/>
              <w:rPr>
                <w:b/>
                <w:color w:val="000000"/>
                <w:sz w:val="20"/>
                <w:szCs w:val="20"/>
              </w:rPr>
            </w:pPr>
            <w:r>
              <w:rPr>
                <w:b/>
                <w:color w:val="000000"/>
                <w:sz w:val="20"/>
                <w:szCs w:val="20"/>
              </w:rPr>
              <w:t>NOMBRES</w:t>
            </w:r>
          </w:p>
        </w:tc>
      </w:tr>
      <w:tr w:rsidR="004730DA">
        <w:trPr>
          <w:trHeight w:val="112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b/>
                <w:color w:val="000000"/>
                <w:sz w:val="20"/>
                <w:szCs w:val="20"/>
              </w:rPr>
            </w:pPr>
            <w:r>
              <w:rPr>
                <w:rFonts w:ascii="Play" w:eastAsia="Play" w:hAnsi="Play" w:cs="Play"/>
                <w:b/>
                <w:sz w:val="20"/>
                <w:szCs w:val="20"/>
              </w:rPr>
              <w:t>Razón social 1</w:t>
            </w:r>
          </w:p>
        </w:tc>
        <w:tc>
          <w:tcPr>
            <w:tcW w:w="1000" w:type="dxa"/>
            <w:tcBorders>
              <w:top w:val="single" w:sz="4" w:space="0" w:color="000000"/>
              <w:left w:val="nil"/>
              <w:bottom w:val="single" w:sz="4" w:space="0" w:color="000000"/>
              <w:right w:val="single" w:sz="4" w:space="0" w:color="000000"/>
            </w:tcBorders>
            <w:shd w:val="clear" w:color="auto" w:fill="FCE4D6"/>
            <w:vAlign w:val="center"/>
          </w:tcPr>
          <w:p w:rsidR="004730DA" w:rsidRDefault="004730DA">
            <w:pP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rsidR="004730DA" w:rsidRDefault="004730DA">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rsidR="004730DA" w:rsidRDefault="004730DA">
            <w:pPr>
              <w:jc w:val="center"/>
              <w:rPr>
                <w:color w:val="000000"/>
                <w:sz w:val="20"/>
                <w:szCs w:val="20"/>
              </w:rPr>
            </w:pPr>
          </w:p>
        </w:tc>
        <w:tc>
          <w:tcPr>
            <w:tcW w:w="1803" w:type="dxa"/>
            <w:gridSpan w:val="2"/>
            <w:vMerge w:val="restart"/>
            <w:tcBorders>
              <w:top w:val="single" w:sz="4" w:space="0" w:color="000000"/>
              <w:left w:val="single" w:sz="4" w:space="0" w:color="000000"/>
              <w:right w:val="single" w:sz="4" w:space="0" w:color="000000"/>
            </w:tcBorders>
            <w:shd w:val="clear" w:color="auto" w:fill="FFF2CC"/>
            <w:vAlign w:val="center"/>
          </w:tcPr>
          <w:p w:rsidR="004730DA" w:rsidRDefault="00CD3D44">
            <w:pPr>
              <w:jc w:val="center"/>
              <w:rPr>
                <w:color w:val="000000"/>
                <w:sz w:val="20"/>
                <w:szCs w:val="20"/>
              </w:rPr>
            </w:pPr>
            <w:r>
              <w:rPr>
                <w:color w:val="000000"/>
                <w:sz w:val="20"/>
                <w:szCs w:val="20"/>
              </w:rPr>
              <w:t>No aplica, de acuerdo con lo señalado en el artículo 57 del RGLOSNCP, que señala: "</w:t>
            </w:r>
            <w:r>
              <w:rPr>
                <w:i/>
                <w:color w:val="000000"/>
                <w:sz w:val="20"/>
                <w:szCs w:val="20"/>
              </w:rPr>
              <w:t>Beneficiario Final.- Se entenderá por beneficiario final a la persona natural que efectiva y finalmente a través de</w:t>
            </w:r>
            <w:r>
              <w:rPr>
                <w:i/>
                <w:color w:val="000000"/>
                <w:sz w:val="20"/>
                <w:szCs w:val="20"/>
              </w:rPr>
              <w:br/>
              <w:t>una cadena de propiedad o cualquier otro medio de control, posea o controle a una sociedad; y/o la persona natural en</w:t>
            </w:r>
            <w:r>
              <w:rPr>
                <w:i/>
                <w:color w:val="000000"/>
                <w:sz w:val="20"/>
                <w:szCs w:val="20"/>
              </w:rPr>
              <w:br/>
              <w:t>cuyo nombre se realiza una transacción (...)Se excepcionan de la presente disposición las contrataciones por ínfima cuantía.</w:t>
            </w:r>
            <w:r>
              <w:rPr>
                <w:color w:val="000000"/>
                <w:sz w:val="20"/>
                <w:szCs w:val="20"/>
              </w:rPr>
              <w:t>"</w:t>
            </w:r>
          </w:p>
        </w:tc>
      </w:tr>
      <w:tr w:rsidR="004730DA">
        <w:trPr>
          <w:trHeight w:val="1462"/>
          <w:jc w:val="center"/>
        </w:trPr>
        <w:tc>
          <w:tcPr>
            <w:tcW w:w="643" w:type="dxa"/>
            <w:tcBorders>
              <w:top w:val="nil"/>
              <w:left w:val="single" w:sz="4" w:space="0" w:color="000000"/>
              <w:bottom w:val="single" w:sz="4" w:space="0" w:color="000000"/>
              <w:right w:val="single" w:sz="4" w:space="0" w:color="000000"/>
            </w:tcBorders>
            <w:shd w:val="clear" w:color="auto" w:fill="auto"/>
            <w:vAlign w:val="center"/>
          </w:tcPr>
          <w:p w:rsidR="004730DA" w:rsidRDefault="00CD3D44">
            <w:pPr>
              <w:jc w:val="center"/>
              <w:rPr>
                <w:b/>
                <w:color w:val="000000"/>
                <w:sz w:val="20"/>
                <w:szCs w:val="20"/>
              </w:rPr>
            </w:pPr>
            <w:r>
              <w:rPr>
                <w:rFonts w:ascii="Play" w:eastAsia="Play" w:hAnsi="Play" w:cs="Play"/>
                <w:b/>
                <w:sz w:val="20"/>
                <w:szCs w:val="20"/>
              </w:rPr>
              <w:t>Razón social 2</w:t>
            </w:r>
          </w:p>
        </w:tc>
        <w:tc>
          <w:tcPr>
            <w:tcW w:w="1000" w:type="dxa"/>
            <w:tcBorders>
              <w:top w:val="nil"/>
              <w:left w:val="nil"/>
              <w:bottom w:val="single" w:sz="4" w:space="0" w:color="000000"/>
              <w:right w:val="single" w:sz="4" w:space="0" w:color="000000"/>
            </w:tcBorders>
            <w:shd w:val="clear" w:color="auto" w:fill="FCE4D6"/>
            <w:vAlign w:val="center"/>
          </w:tcPr>
          <w:p w:rsidR="004730DA" w:rsidRDefault="004730DA">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rsidR="004730DA" w:rsidRDefault="004730DA">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rsidR="004730DA" w:rsidRDefault="004730DA">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rsidR="004730DA" w:rsidRDefault="004730DA">
            <w:pPr>
              <w:widowControl w:val="0"/>
              <w:pBdr>
                <w:top w:val="nil"/>
                <w:left w:val="nil"/>
                <w:bottom w:val="nil"/>
                <w:right w:val="nil"/>
                <w:between w:val="nil"/>
              </w:pBdr>
              <w:spacing w:line="276" w:lineRule="auto"/>
              <w:rPr>
                <w:color w:val="000000"/>
                <w:sz w:val="20"/>
                <w:szCs w:val="20"/>
              </w:rPr>
            </w:pPr>
          </w:p>
        </w:tc>
      </w:tr>
      <w:tr w:rsidR="004730DA">
        <w:trPr>
          <w:trHeight w:val="1462"/>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b/>
                <w:sz w:val="20"/>
                <w:szCs w:val="20"/>
              </w:rPr>
            </w:pPr>
            <w:r>
              <w:rPr>
                <w:rFonts w:ascii="Play" w:eastAsia="Play" w:hAnsi="Play" w:cs="Play"/>
                <w:b/>
                <w:sz w:val="20"/>
                <w:szCs w:val="20"/>
              </w:rPr>
              <w:t>Razón social 3</w:t>
            </w:r>
          </w:p>
        </w:tc>
        <w:tc>
          <w:tcPr>
            <w:tcW w:w="1000" w:type="dxa"/>
            <w:tcBorders>
              <w:top w:val="single" w:sz="4" w:space="0" w:color="000000"/>
              <w:left w:val="nil"/>
              <w:bottom w:val="single" w:sz="4" w:space="0" w:color="000000"/>
              <w:right w:val="single" w:sz="4" w:space="0" w:color="000000"/>
            </w:tcBorders>
            <w:shd w:val="clear" w:color="auto" w:fill="FCE4D6"/>
            <w:vAlign w:val="center"/>
          </w:tcPr>
          <w:p w:rsidR="004730DA" w:rsidRDefault="004730DA">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rsidR="004730DA" w:rsidRDefault="004730DA">
            <w:pPr>
              <w:jc w:val="center"/>
              <w:rPr>
                <w:color w:val="000000"/>
                <w:sz w:val="20"/>
                <w:szCs w:val="20"/>
              </w:rPr>
            </w:pPr>
          </w:p>
        </w:tc>
        <w:tc>
          <w:tcPr>
            <w:tcW w:w="2803" w:type="dxa"/>
            <w:gridSpan w:val="3"/>
            <w:tcBorders>
              <w:top w:val="single" w:sz="4" w:space="0" w:color="000000"/>
              <w:left w:val="nil"/>
              <w:right w:val="single" w:sz="4" w:space="0" w:color="000000"/>
            </w:tcBorders>
            <w:shd w:val="clear" w:color="auto" w:fill="E2EFDA"/>
            <w:vAlign w:val="center"/>
          </w:tcPr>
          <w:p w:rsidR="004730DA" w:rsidRDefault="004730DA">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rsidR="004730DA" w:rsidRDefault="004730DA">
            <w:pPr>
              <w:widowControl w:val="0"/>
              <w:pBdr>
                <w:top w:val="nil"/>
                <w:left w:val="nil"/>
                <w:bottom w:val="nil"/>
                <w:right w:val="nil"/>
                <w:between w:val="nil"/>
              </w:pBdr>
              <w:spacing w:line="276" w:lineRule="auto"/>
              <w:rPr>
                <w:color w:val="000000"/>
                <w:sz w:val="20"/>
                <w:szCs w:val="20"/>
              </w:rPr>
            </w:pPr>
          </w:p>
        </w:tc>
      </w:tr>
    </w:tbl>
    <w:p w:rsidR="004730DA" w:rsidRDefault="004730DA">
      <w:pPr>
        <w:jc w:val="both"/>
        <w:rPr>
          <w:rFonts w:ascii="Play" w:eastAsia="Play" w:hAnsi="Play" w:cs="Play"/>
          <w:b/>
          <w:sz w:val="20"/>
          <w:szCs w:val="20"/>
        </w:rPr>
      </w:pP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COMPARATIVO DE LAS PROFORMAS RECIBIDAS</w:t>
      </w:r>
    </w:p>
    <w:p w:rsidR="004730DA" w:rsidRDefault="004730DA">
      <w:pPr>
        <w:rPr>
          <w:rFonts w:ascii="Play" w:eastAsia="Play" w:hAnsi="Play" w:cs="Play"/>
          <w:sz w:val="20"/>
          <w:szCs w:val="20"/>
        </w:rPr>
      </w:pPr>
    </w:p>
    <w:tbl>
      <w:tblPr>
        <w:tblStyle w:val="a5"/>
        <w:tblW w:w="9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2050"/>
        <w:gridCol w:w="2051"/>
        <w:gridCol w:w="1922"/>
        <w:gridCol w:w="1922"/>
      </w:tblGrid>
      <w:tr w:rsidR="004730DA">
        <w:trPr>
          <w:trHeight w:val="281"/>
          <w:jc w:val="center"/>
        </w:trPr>
        <w:tc>
          <w:tcPr>
            <w:tcW w:w="2047"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ÍTEM SOLICITADO</w:t>
            </w:r>
          </w:p>
        </w:tc>
        <w:tc>
          <w:tcPr>
            <w:tcW w:w="2050"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Razón social 1</w:t>
            </w:r>
          </w:p>
        </w:tc>
        <w:tc>
          <w:tcPr>
            <w:tcW w:w="2051"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Razón social 2</w:t>
            </w:r>
          </w:p>
        </w:tc>
        <w:tc>
          <w:tcPr>
            <w:tcW w:w="1922" w:type="dxa"/>
            <w:shd w:val="clear" w:color="auto" w:fill="auto"/>
          </w:tcPr>
          <w:p w:rsidR="004730DA" w:rsidRDefault="00CD3D44">
            <w:pPr>
              <w:jc w:val="center"/>
              <w:rPr>
                <w:rFonts w:ascii="Play" w:eastAsia="Play" w:hAnsi="Play" w:cs="Play"/>
                <w:b/>
                <w:sz w:val="20"/>
                <w:szCs w:val="20"/>
              </w:rPr>
            </w:pPr>
            <w:r>
              <w:rPr>
                <w:rFonts w:ascii="Play" w:eastAsia="Play" w:hAnsi="Play" w:cs="Play"/>
                <w:b/>
                <w:sz w:val="20"/>
                <w:szCs w:val="20"/>
              </w:rPr>
              <w:t>Razón social 3</w:t>
            </w:r>
          </w:p>
        </w:tc>
        <w:tc>
          <w:tcPr>
            <w:tcW w:w="1922" w:type="dxa"/>
          </w:tcPr>
          <w:p w:rsidR="004730DA" w:rsidRDefault="004730DA">
            <w:pPr>
              <w:jc w:val="center"/>
              <w:rPr>
                <w:rFonts w:ascii="Play" w:eastAsia="Play" w:hAnsi="Play" w:cs="Play"/>
                <w:b/>
                <w:sz w:val="20"/>
                <w:szCs w:val="20"/>
              </w:rPr>
            </w:pPr>
          </w:p>
        </w:tc>
      </w:tr>
      <w:tr w:rsidR="004730DA">
        <w:trPr>
          <w:trHeight w:val="1320"/>
          <w:jc w:val="center"/>
        </w:trPr>
        <w:tc>
          <w:tcPr>
            <w:tcW w:w="2047" w:type="dxa"/>
            <w:shd w:val="clear" w:color="auto" w:fill="auto"/>
          </w:tcPr>
          <w:p w:rsidR="004730DA" w:rsidRDefault="00CD3D44">
            <w:pPr>
              <w:jc w:val="center"/>
              <w:rPr>
                <w:rFonts w:ascii="Play" w:eastAsia="Play" w:hAnsi="Play" w:cs="Play"/>
                <w:sz w:val="20"/>
                <w:szCs w:val="20"/>
              </w:rPr>
            </w:pPr>
            <w:r>
              <w:rPr>
                <w:rFonts w:ascii="Play" w:eastAsia="Play" w:hAnsi="Play" w:cs="Play"/>
                <w:sz w:val="20"/>
                <w:szCs w:val="20"/>
                <w:highlight w:val="green"/>
              </w:rPr>
              <w:t>XXXXXXXX</w:t>
            </w:r>
          </w:p>
        </w:tc>
        <w:tc>
          <w:tcPr>
            <w:tcW w:w="2050" w:type="dxa"/>
            <w:shd w:val="clear" w:color="auto" w:fill="auto"/>
          </w:tcPr>
          <w:p w:rsidR="004730DA" w:rsidRDefault="00CD3D44">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2051" w:type="dxa"/>
            <w:shd w:val="clear" w:color="auto" w:fill="auto"/>
          </w:tcPr>
          <w:p w:rsidR="004730DA" w:rsidRDefault="00CD3D44">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shd w:val="clear" w:color="auto" w:fill="auto"/>
          </w:tcPr>
          <w:p w:rsidR="004730DA" w:rsidRDefault="00CD3D44">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Plazo de entrega</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Forma de pago</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Garantía (de ser el caso)</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Vigencia de la oferta</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Anexo UAFE</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Anexo Vinculación con ESPOL</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Anexo Vinculación Específica entre oferentes</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Presupuesto referencial</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r w:rsidR="004730DA">
        <w:trPr>
          <w:trHeight w:val="281"/>
          <w:jc w:val="center"/>
        </w:trPr>
        <w:tc>
          <w:tcPr>
            <w:tcW w:w="2047" w:type="dxa"/>
            <w:shd w:val="clear" w:color="auto" w:fill="auto"/>
          </w:tcPr>
          <w:p w:rsidR="004730DA" w:rsidRDefault="00CD3D44">
            <w:pPr>
              <w:jc w:val="both"/>
              <w:rPr>
                <w:rFonts w:ascii="Play" w:eastAsia="Play" w:hAnsi="Play" w:cs="Play"/>
                <w:b/>
                <w:sz w:val="20"/>
                <w:szCs w:val="20"/>
              </w:rPr>
            </w:pPr>
            <w:r>
              <w:rPr>
                <w:rFonts w:ascii="Play" w:eastAsia="Play" w:hAnsi="Play" w:cs="Play"/>
                <w:b/>
                <w:sz w:val="20"/>
                <w:szCs w:val="20"/>
              </w:rPr>
              <w:t>Resultado Final: Cumple/No Cumple</w:t>
            </w:r>
          </w:p>
        </w:tc>
        <w:tc>
          <w:tcPr>
            <w:tcW w:w="2050" w:type="dxa"/>
            <w:shd w:val="clear" w:color="auto" w:fill="auto"/>
          </w:tcPr>
          <w:p w:rsidR="004730DA" w:rsidRDefault="004730DA">
            <w:pPr>
              <w:jc w:val="both"/>
              <w:rPr>
                <w:rFonts w:ascii="Play" w:eastAsia="Play" w:hAnsi="Play" w:cs="Play"/>
                <w:sz w:val="20"/>
                <w:szCs w:val="20"/>
              </w:rPr>
            </w:pPr>
          </w:p>
        </w:tc>
        <w:tc>
          <w:tcPr>
            <w:tcW w:w="2051" w:type="dxa"/>
            <w:shd w:val="clear" w:color="auto" w:fill="auto"/>
          </w:tcPr>
          <w:p w:rsidR="004730DA" w:rsidRDefault="004730DA">
            <w:pPr>
              <w:jc w:val="both"/>
              <w:rPr>
                <w:rFonts w:ascii="Play" w:eastAsia="Play" w:hAnsi="Play" w:cs="Play"/>
                <w:sz w:val="20"/>
                <w:szCs w:val="20"/>
              </w:rPr>
            </w:pPr>
          </w:p>
        </w:tc>
        <w:tc>
          <w:tcPr>
            <w:tcW w:w="1922" w:type="dxa"/>
            <w:shd w:val="clear" w:color="auto" w:fill="auto"/>
          </w:tcPr>
          <w:p w:rsidR="004730DA" w:rsidRDefault="004730DA">
            <w:pPr>
              <w:jc w:val="both"/>
              <w:rPr>
                <w:rFonts w:ascii="Play" w:eastAsia="Play" w:hAnsi="Play" w:cs="Play"/>
                <w:sz w:val="20"/>
                <w:szCs w:val="20"/>
              </w:rPr>
            </w:pPr>
          </w:p>
        </w:tc>
        <w:tc>
          <w:tcPr>
            <w:tcW w:w="1922" w:type="dxa"/>
          </w:tcPr>
          <w:p w:rsidR="004730DA" w:rsidRDefault="004730DA">
            <w:pPr>
              <w:jc w:val="both"/>
              <w:rPr>
                <w:rFonts w:ascii="Play" w:eastAsia="Play" w:hAnsi="Play" w:cs="Play"/>
                <w:sz w:val="20"/>
                <w:szCs w:val="20"/>
              </w:rPr>
            </w:pPr>
          </w:p>
        </w:tc>
      </w:tr>
    </w:tbl>
    <w:p w:rsidR="004730DA" w:rsidRDefault="004730DA">
      <w:pPr>
        <w:jc w:val="both"/>
        <w:rPr>
          <w:rFonts w:ascii="Play" w:eastAsia="Play" w:hAnsi="Play" w:cs="Play"/>
          <w:b/>
          <w:sz w:val="20"/>
          <w:szCs w:val="20"/>
        </w:rPr>
      </w:pPr>
    </w:p>
    <w:p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ANÁLISIS DE MEJOR VALOR POR DINERO</w:t>
      </w: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pStyle w:val="Subttulo"/>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7.1.- Bienes y/o servicios a contratarse estandarizados </w:t>
      </w:r>
    </w:p>
    <w:p w:rsidR="004730DA" w:rsidRDefault="00CD3D44">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p>
    <w:p w:rsidR="004730DA" w:rsidRDefault="004730DA"/>
    <w:p w:rsidR="004730DA" w:rsidRDefault="00CD3D44">
      <w:pPr>
        <w:pStyle w:val="Subttulo"/>
        <w:spacing w:after="0"/>
        <w:ind w:right="-336"/>
        <w:jc w:val="both"/>
        <w:rPr>
          <w:rFonts w:ascii="Arial" w:eastAsia="Arial" w:hAnsi="Arial" w:cs="Arial"/>
          <w:color w:val="000000"/>
          <w:sz w:val="22"/>
          <w:szCs w:val="22"/>
          <w:highlight w:val="white"/>
          <w:u w:val="single"/>
        </w:rPr>
      </w:pPr>
      <w:r>
        <w:rPr>
          <w:rFonts w:ascii="Arial" w:eastAsia="Arial" w:hAnsi="Arial" w:cs="Arial"/>
          <w:color w:val="000000"/>
          <w:sz w:val="22"/>
          <w:szCs w:val="22"/>
          <w:highlight w:val="white"/>
          <w:u w:val="single"/>
        </w:rPr>
        <w:t xml:space="preserve">Cuando son estandarizados </w:t>
      </w:r>
    </w:p>
    <w:p w:rsidR="004730DA" w:rsidRDefault="00CD3D44">
      <w:pPr>
        <w:ind w:right="-336"/>
        <w:rPr>
          <w:rFonts w:ascii="Arial" w:eastAsia="Arial" w:hAnsi="Arial" w:cs="Arial"/>
          <w:sz w:val="22"/>
          <w:szCs w:val="22"/>
        </w:rPr>
      </w:pPr>
      <w:r>
        <w:rPr>
          <w:rFonts w:ascii="Arial" w:eastAsia="Arial" w:hAnsi="Arial" w:cs="Arial"/>
          <w:sz w:val="22"/>
          <w:szCs w:val="22"/>
        </w:rPr>
        <w:t>Ejemplo:</w:t>
      </w:r>
    </w:p>
    <w:p w:rsidR="004730DA" w:rsidRDefault="00CD3D44">
      <w:pPr>
        <w:pStyle w:val="Subttulo"/>
        <w:spacing w:after="0"/>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Los bienes/servicios a contratar son estandarizados, de uso común y frecuente dentro de las actividades administrativas y operativas de la institución. Sus características son fácilmente definidas y descritas, lo que permite establecer especificaciones técnicas/términos de referencia claras y comparables. Además, la entidad ha realizado adquisiciones similares de estos bienes/servicios de manera recurrente en los últimos cinco años, lo cual permite contar con referencias históricas sobre precios, atributos y proveedores. Esta estandarización facilita la evaluación objetiva de las ofertas y contribuye a garantizar la eficiencia del proceso de contratación.</w:t>
      </w:r>
    </w:p>
    <w:p w:rsidR="004730DA" w:rsidRDefault="004730DA">
      <w:pPr>
        <w:pStyle w:val="Subttulo"/>
        <w:spacing w:after="0"/>
        <w:ind w:right="-336"/>
        <w:jc w:val="both"/>
        <w:rPr>
          <w:rFonts w:ascii="Arial" w:eastAsia="Arial" w:hAnsi="Arial" w:cs="Arial"/>
          <w:color w:val="000000"/>
          <w:sz w:val="22"/>
          <w:szCs w:val="22"/>
          <w:highlight w:val="white"/>
          <w:u w:val="single"/>
        </w:rPr>
      </w:pPr>
    </w:p>
    <w:p w:rsidR="004730DA" w:rsidRDefault="00CD3D44">
      <w:pPr>
        <w:pStyle w:val="Subttulo"/>
        <w:spacing w:after="0"/>
        <w:ind w:right="-336"/>
        <w:jc w:val="both"/>
        <w:rPr>
          <w:rFonts w:ascii="Arial" w:eastAsia="Arial" w:hAnsi="Arial" w:cs="Arial"/>
          <w:color w:val="000000"/>
          <w:sz w:val="22"/>
          <w:szCs w:val="22"/>
          <w:highlight w:val="white"/>
          <w:u w:val="single"/>
        </w:rPr>
      </w:pPr>
      <w:r>
        <w:rPr>
          <w:rFonts w:ascii="Arial" w:eastAsia="Arial" w:hAnsi="Arial" w:cs="Arial"/>
          <w:color w:val="000000"/>
          <w:sz w:val="22"/>
          <w:szCs w:val="22"/>
          <w:highlight w:val="white"/>
          <w:u w:val="single"/>
        </w:rPr>
        <w:t xml:space="preserve">Cuando no son estandarizados </w:t>
      </w:r>
    </w:p>
    <w:p w:rsidR="004730DA" w:rsidRDefault="00CD3D44">
      <w:pPr>
        <w:ind w:right="-336"/>
        <w:rPr>
          <w:rFonts w:ascii="Arial" w:eastAsia="Arial" w:hAnsi="Arial" w:cs="Arial"/>
          <w:sz w:val="22"/>
          <w:szCs w:val="22"/>
        </w:rPr>
      </w:pPr>
      <w:r>
        <w:rPr>
          <w:rFonts w:ascii="Arial" w:eastAsia="Arial" w:hAnsi="Arial" w:cs="Arial"/>
          <w:sz w:val="22"/>
          <w:szCs w:val="22"/>
        </w:rPr>
        <w:t>Ejemplo:</w:t>
      </w:r>
    </w:p>
    <w:p w:rsidR="004730DA" w:rsidRDefault="004730DA">
      <w:pPr>
        <w:pStyle w:val="Subttulo"/>
        <w:spacing w:after="0"/>
        <w:ind w:right="-336"/>
        <w:jc w:val="both"/>
        <w:rPr>
          <w:rFonts w:ascii="Arial" w:eastAsia="Arial" w:hAnsi="Arial" w:cs="Arial"/>
          <w:color w:val="000000"/>
          <w:sz w:val="22"/>
          <w:szCs w:val="22"/>
          <w:highlight w:val="green"/>
        </w:rPr>
      </w:pPr>
    </w:p>
    <w:p w:rsidR="004730DA" w:rsidRDefault="00CD3D44">
      <w:pPr>
        <w:pStyle w:val="Subttulo"/>
        <w:spacing w:after="0"/>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A pesar que la entidad ha realizado adquisiciones similares de estos bienes/servicios de manera recurrente y existe una frecuencia significativa en adquisiciones similares en los últimos cinco años, los bienes/servicios a contratarse no son estandarizados, ya que dentro de este proceso las características de cada ítem no son uniformes ni comparables dado que cada uno depende de variables según su necesidad, funcionalidad, compatibilidad o desempeño requerido para su correcta ejecución. Su descripción requiere mayor nivel de detalle técnico. </w:t>
      </w:r>
    </w:p>
    <w:p w:rsidR="004730DA" w:rsidRDefault="004730DA">
      <w:pPr>
        <w:pStyle w:val="Subttulo"/>
        <w:spacing w:after="0"/>
        <w:ind w:right="-336"/>
        <w:jc w:val="both"/>
        <w:rPr>
          <w:rFonts w:ascii="Arial" w:eastAsia="Arial" w:hAnsi="Arial" w:cs="Arial"/>
          <w:color w:val="000000"/>
          <w:sz w:val="22"/>
          <w:szCs w:val="22"/>
          <w:highlight w:val="green"/>
        </w:rPr>
      </w:pPr>
    </w:p>
    <w:p w:rsidR="004730DA" w:rsidRDefault="004730DA">
      <w:pPr>
        <w:ind w:right="-336"/>
        <w:rPr>
          <w:rFonts w:ascii="Arial" w:eastAsia="Arial" w:hAnsi="Arial" w:cs="Arial"/>
          <w:sz w:val="22"/>
          <w:szCs w:val="22"/>
          <w:highlight w:val="yellow"/>
        </w:rPr>
      </w:pPr>
    </w:p>
    <w:p w:rsidR="004730DA" w:rsidRDefault="00CD3D44">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7.2.- Mercado Competitivo </w:t>
      </w:r>
    </w:p>
    <w:p w:rsidR="004730DA" w:rsidRDefault="004730DA">
      <w:pPr>
        <w:ind w:right="-336"/>
        <w:rPr>
          <w:rFonts w:ascii="Arial" w:eastAsia="Arial" w:hAnsi="Arial" w:cs="Arial"/>
          <w:sz w:val="22"/>
          <w:szCs w:val="22"/>
        </w:rPr>
      </w:pPr>
    </w:p>
    <w:p w:rsidR="004730DA" w:rsidRDefault="00CD3D44">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que garanticen que el mismo será competitivo; y,</w:t>
      </w:r>
    </w:p>
    <w:p w:rsidR="004730DA" w:rsidRDefault="004730DA">
      <w:pPr>
        <w:ind w:right="-336"/>
        <w:jc w:val="both"/>
        <w:rPr>
          <w:rFonts w:ascii="Arial" w:eastAsia="Arial" w:hAnsi="Arial" w:cs="Arial"/>
          <w:color w:val="000000"/>
          <w:sz w:val="22"/>
          <w:szCs w:val="22"/>
          <w:highlight w:val="white"/>
        </w:rPr>
      </w:pPr>
    </w:p>
    <w:p w:rsidR="004730DA" w:rsidRDefault="00CD3D44">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rsidR="004730DA" w:rsidRDefault="004730DA">
      <w:pPr>
        <w:ind w:right="-336"/>
        <w:jc w:val="both"/>
        <w:rPr>
          <w:rFonts w:ascii="Arial" w:eastAsia="Arial" w:hAnsi="Arial" w:cs="Arial"/>
          <w:color w:val="000000"/>
          <w:sz w:val="22"/>
          <w:szCs w:val="22"/>
          <w:highlight w:val="green"/>
        </w:rPr>
      </w:pPr>
    </w:p>
    <w:p w:rsidR="004730DA" w:rsidRDefault="00CD3D44">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 las proformas recibidas se puede evidenciar que existe proveedores previsiblemente cualificados para participar en el presente proceso de contratación, que garantizan que el mismo será competitivo.</w:t>
      </w:r>
    </w:p>
    <w:p w:rsidR="004730DA" w:rsidRDefault="004730DA">
      <w:pPr>
        <w:ind w:right="-336"/>
        <w:jc w:val="both"/>
        <w:rPr>
          <w:rFonts w:ascii="Arial" w:eastAsia="Arial" w:hAnsi="Arial" w:cs="Arial"/>
          <w:color w:val="000000"/>
          <w:sz w:val="22"/>
          <w:szCs w:val="22"/>
          <w:highlight w:val="green"/>
        </w:rPr>
      </w:pPr>
    </w:p>
    <w:p w:rsidR="004730DA" w:rsidRDefault="004730DA">
      <w:pPr>
        <w:ind w:right="-336"/>
        <w:jc w:val="both"/>
        <w:rPr>
          <w:rFonts w:ascii="Arial" w:eastAsia="Arial" w:hAnsi="Arial" w:cs="Arial"/>
          <w:color w:val="000000"/>
          <w:sz w:val="22"/>
          <w:szCs w:val="22"/>
          <w:highlight w:val="green"/>
        </w:rPr>
      </w:pPr>
    </w:p>
    <w:p w:rsidR="004730DA" w:rsidRDefault="00CD3D44">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rsidR="004730DA" w:rsidRDefault="004730DA">
      <w:pPr>
        <w:ind w:right="-336"/>
        <w:jc w:val="both"/>
        <w:rPr>
          <w:rFonts w:ascii="Arial" w:eastAsia="Arial" w:hAnsi="Arial" w:cs="Arial"/>
          <w:color w:val="000000"/>
          <w:sz w:val="22"/>
          <w:szCs w:val="22"/>
          <w:highlight w:val="green"/>
        </w:rPr>
      </w:pPr>
    </w:p>
    <w:p w:rsidR="004730DA" w:rsidRDefault="00CD3D44">
      <w:pPr>
        <w:pBdr>
          <w:top w:val="nil"/>
          <w:left w:val="nil"/>
          <w:bottom w:val="nil"/>
          <w:right w:val="nil"/>
          <w:between w:val="nil"/>
        </w:pBdr>
        <w:jc w:val="both"/>
        <w:rPr>
          <w:rFonts w:ascii="Play" w:eastAsia="Play" w:hAnsi="Play" w:cs="Play"/>
          <w:b/>
          <w:color w:val="000000"/>
          <w:sz w:val="20"/>
          <w:szCs w:val="20"/>
        </w:rPr>
      </w:pPr>
      <w:r>
        <w:rPr>
          <w:rFonts w:ascii="Arial" w:eastAsia="Arial" w:hAnsi="Arial" w:cs="Arial"/>
          <w:color w:val="000000"/>
          <w:sz w:val="22"/>
          <w:szCs w:val="22"/>
          <w:highlight w:val="green"/>
        </w:rPr>
        <w:t>(Adjuntar captura de pantalla del Portal del SERCOP que evidencie la cantidad de proveedores habilitados para el CPC correspondiente)</w:t>
      </w: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pStyle w:val="Subttulo"/>
        <w:ind w:right="-336"/>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7.3.- Existencia de riesgos y/o necesidad de priorizar atributos distintos al precio de los bienes y/o servicios a adquirirse</w:t>
      </w:r>
      <w:r>
        <w:rPr>
          <w:rFonts w:ascii="Arial" w:eastAsia="Arial" w:hAnsi="Arial" w:cs="Arial"/>
          <w:color w:val="000000"/>
          <w:sz w:val="22"/>
          <w:szCs w:val="22"/>
          <w:highlight w:val="white"/>
        </w:rPr>
        <w:t xml:space="preserve"> </w:t>
      </w:r>
    </w:p>
    <w:p w:rsidR="004730DA" w:rsidRDefault="00CD3D44">
      <w:pPr>
        <w:pStyle w:val="Subttulo"/>
        <w:spacing w:after="0"/>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p>
    <w:p w:rsidR="004730DA" w:rsidRDefault="004730DA">
      <w:pPr>
        <w:pStyle w:val="Subttulo"/>
        <w:ind w:right="-336"/>
        <w:jc w:val="both"/>
        <w:rPr>
          <w:rFonts w:ascii="Arial" w:eastAsia="Arial" w:hAnsi="Arial" w:cs="Arial"/>
          <w:color w:val="000000"/>
          <w:sz w:val="22"/>
          <w:szCs w:val="22"/>
          <w:highlight w:val="white"/>
          <w:u w:val="single"/>
        </w:rPr>
      </w:pPr>
    </w:p>
    <w:p w:rsidR="004730DA" w:rsidRDefault="00CD3D44">
      <w:pPr>
        <w:ind w:right="-336"/>
        <w:rPr>
          <w:rFonts w:ascii="Arial" w:eastAsia="Arial" w:hAnsi="Arial" w:cs="Arial"/>
          <w:sz w:val="22"/>
          <w:szCs w:val="22"/>
        </w:rPr>
      </w:pPr>
      <w:r>
        <w:rPr>
          <w:rFonts w:ascii="Arial" w:eastAsia="Arial" w:hAnsi="Arial" w:cs="Arial"/>
          <w:sz w:val="22"/>
          <w:szCs w:val="22"/>
        </w:rPr>
        <w:t>Para bienes:</w:t>
      </w:r>
    </w:p>
    <w:p w:rsidR="004730DA" w:rsidRDefault="004730DA">
      <w:pPr>
        <w:ind w:right="-336"/>
        <w:rPr>
          <w:rFonts w:ascii="Arial" w:eastAsia="Arial" w:hAnsi="Arial" w:cs="Arial"/>
          <w:sz w:val="22"/>
          <w:szCs w:val="22"/>
        </w:rPr>
      </w:pPr>
    </w:p>
    <w:p w:rsidR="004730DA" w:rsidRDefault="00CD3D44">
      <w:pPr>
        <w:ind w:right="-336"/>
        <w:rPr>
          <w:rFonts w:ascii="Arial" w:eastAsia="Arial" w:hAnsi="Arial" w:cs="Arial"/>
          <w:sz w:val="22"/>
          <w:szCs w:val="22"/>
        </w:rPr>
      </w:pPr>
      <w:r>
        <w:rPr>
          <w:rFonts w:ascii="Arial" w:eastAsia="Arial" w:hAnsi="Arial" w:cs="Arial"/>
          <w:sz w:val="22"/>
          <w:szCs w:val="22"/>
        </w:rPr>
        <w:t>Ejemplo:</w:t>
      </w:r>
    </w:p>
    <w:p w:rsidR="004730DA" w:rsidRDefault="004730DA">
      <w:pPr>
        <w:pBdr>
          <w:top w:val="nil"/>
          <w:left w:val="nil"/>
          <w:bottom w:val="nil"/>
          <w:right w:val="nil"/>
          <w:between w:val="nil"/>
        </w:pBdr>
        <w:ind w:right="-336"/>
        <w:jc w:val="both"/>
        <w:rPr>
          <w:rFonts w:ascii="Arial" w:eastAsia="Arial" w:hAnsi="Arial" w:cs="Arial"/>
          <w:color w:val="000000"/>
          <w:sz w:val="22"/>
          <w:szCs w:val="22"/>
          <w:highlight w:val="green"/>
        </w:rPr>
      </w:pPr>
    </w:p>
    <w:p w:rsidR="004730DA" w:rsidRDefault="00CD3D44">
      <w:pPr>
        <w:pBdr>
          <w:top w:val="nil"/>
          <w:left w:val="nil"/>
          <w:bottom w:val="nil"/>
          <w:right w:val="nil"/>
          <w:between w:val="nil"/>
        </w:pBd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De conformidad con lo establecido en el numeral 6 del artículo 149 del RGLOSNCP,  donde indica que con las proformas presentadas, la entidad contratante de forma directa seleccionará al proveedor que cumpla con el mejor costo y dado que los bienes objeto de esta contratación son estandarizados, de especificaciones técnicas claras y comparables, disponibles en el mercado, con características definidas y fáciles de verificar al momento de la recepción, </w:t>
      </w:r>
      <w:r>
        <w:rPr>
          <w:rFonts w:ascii="Arial" w:eastAsia="Arial" w:hAnsi="Arial" w:cs="Arial"/>
          <w:b/>
          <w:color w:val="000000"/>
          <w:sz w:val="22"/>
          <w:szCs w:val="22"/>
          <w:highlight w:val="green"/>
        </w:rPr>
        <w:t xml:space="preserve">no se identifica la necesidad de priorizar atributos distintos </w:t>
      </w:r>
      <w:r>
        <w:rPr>
          <w:rFonts w:ascii="Arial" w:eastAsia="Arial" w:hAnsi="Arial" w:cs="Arial"/>
          <w:color w:val="000000"/>
          <w:sz w:val="22"/>
          <w:szCs w:val="22"/>
          <w:highlight w:val="green"/>
        </w:rPr>
        <w:t>al precio, ya que este representa adecuadamente el mejor valor por dinero en esta contratación.</w:t>
      </w:r>
    </w:p>
    <w:p w:rsidR="004730DA" w:rsidRDefault="004730DA">
      <w:pPr>
        <w:pBdr>
          <w:top w:val="nil"/>
          <w:left w:val="nil"/>
          <w:bottom w:val="nil"/>
          <w:right w:val="nil"/>
          <w:between w:val="nil"/>
        </w:pBdr>
        <w:ind w:right="-336"/>
        <w:jc w:val="both"/>
        <w:rPr>
          <w:rFonts w:ascii="Arial" w:eastAsia="Arial" w:hAnsi="Arial" w:cs="Arial"/>
          <w:color w:val="000000"/>
          <w:sz w:val="22"/>
          <w:szCs w:val="22"/>
          <w:highlight w:val="green"/>
        </w:rPr>
      </w:pPr>
    </w:p>
    <w:p w:rsidR="004730DA" w:rsidRDefault="00CD3D44">
      <w:pPr>
        <w:pBdr>
          <w:top w:val="nil"/>
          <w:left w:val="nil"/>
          <w:bottom w:val="nil"/>
          <w:right w:val="nil"/>
          <w:between w:val="nil"/>
        </w:pBd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Para servicios:</w:t>
      </w:r>
    </w:p>
    <w:p w:rsidR="004730DA" w:rsidRDefault="004730DA">
      <w:pPr>
        <w:ind w:right="-336"/>
        <w:rPr>
          <w:rFonts w:ascii="Arial" w:eastAsia="Arial" w:hAnsi="Arial" w:cs="Arial"/>
          <w:sz w:val="22"/>
          <w:szCs w:val="22"/>
        </w:rPr>
      </w:pPr>
    </w:p>
    <w:p w:rsidR="004730DA" w:rsidRDefault="00CD3D44">
      <w:pPr>
        <w:ind w:right="-336"/>
        <w:rPr>
          <w:rFonts w:ascii="Arial" w:eastAsia="Arial" w:hAnsi="Arial" w:cs="Arial"/>
          <w:sz w:val="22"/>
          <w:szCs w:val="22"/>
        </w:rPr>
      </w:pPr>
      <w:r>
        <w:rPr>
          <w:rFonts w:ascii="Arial" w:eastAsia="Arial" w:hAnsi="Arial" w:cs="Arial"/>
          <w:sz w:val="22"/>
          <w:szCs w:val="22"/>
        </w:rPr>
        <w:t>Ejemplo:</w:t>
      </w:r>
    </w:p>
    <w:p w:rsidR="004730DA" w:rsidRDefault="004730DA">
      <w:pPr>
        <w:pBdr>
          <w:top w:val="nil"/>
          <w:left w:val="nil"/>
          <w:bottom w:val="nil"/>
          <w:right w:val="nil"/>
          <w:between w:val="nil"/>
        </w:pBdr>
        <w:ind w:right="-336"/>
        <w:jc w:val="both"/>
        <w:rPr>
          <w:rFonts w:ascii="Arial" w:eastAsia="Arial" w:hAnsi="Arial" w:cs="Arial"/>
          <w:color w:val="000000"/>
          <w:sz w:val="22"/>
          <w:szCs w:val="22"/>
          <w:highlight w:val="white"/>
        </w:rPr>
      </w:pPr>
    </w:p>
    <w:p w:rsidR="004730DA" w:rsidRDefault="004730DA">
      <w:pPr>
        <w:pBdr>
          <w:top w:val="nil"/>
          <w:left w:val="nil"/>
          <w:bottom w:val="nil"/>
          <w:right w:val="nil"/>
          <w:between w:val="nil"/>
        </w:pBdr>
        <w:ind w:right="-336"/>
        <w:jc w:val="both"/>
        <w:rPr>
          <w:rFonts w:ascii="Arial" w:eastAsia="Arial" w:hAnsi="Arial" w:cs="Arial"/>
          <w:color w:val="000000"/>
          <w:sz w:val="22"/>
          <w:szCs w:val="22"/>
          <w:highlight w:val="green"/>
        </w:rPr>
      </w:pPr>
    </w:p>
    <w:p w:rsidR="004730DA" w:rsidRDefault="00CD3D44">
      <w:pPr>
        <w:pBdr>
          <w:top w:val="nil"/>
          <w:left w:val="nil"/>
          <w:bottom w:val="nil"/>
          <w:right w:val="nil"/>
          <w:between w:val="nil"/>
        </w:pBd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De conformidad con lo establecido en el numeral 6 del artículo 149 del RGLOSNCP,  donde indica que con las proformas presentadas, la entidad contratante de forma directa seleccionará al proveedor que cumpla con el mejor costo y dado que los servicios objeto de esta contratación son estandarizados, con términos de referencias claros y comparables, disponibles en el mercado, con características definidas y fáciles de verificar al momento de la recepción, </w:t>
      </w:r>
      <w:r>
        <w:rPr>
          <w:rFonts w:ascii="Arial" w:eastAsia="Arial" w:hAnsi="Arial" w:cs="Arial"/>
          <w:b/>
          <w:color w:val="000000"/>
          <w:sz w:val="22"/>
          <w:szCs w:val="22"/>
          <w:highlight w:val="green"/>
        </w:rPr>
        <w:t>no se identifica la necesidad de priorizar atributos distintos al precio</w:t>
      </w:r>
      <w:r>
        <w:rPr>
          <w:rFonts w:ascii="Arial" w:eastAsia="Arial" w:hAnsi="Arial" w:cs="Arial"/>
          <w:color w:val="000000"/>
          <w:sz w:val="22"/>
          <w:szCs w:val="22"/>
          <w:highlight w:val="green"/>
        </w:rPr>
        <w:t>, ya que este representa adecuadamente el mejor valor por dinero en esta contratación.</w:t>
      </w:r>
    </w:p>
    <w:p w:rsidR="004730DA" w:rsidRDefault="004730DA">
      <w:pPr>
        <w:pBdr>
          <w:top w:val="nil"/>
          <w:left w:val="nil"/>
          <w:bottom w:val="nil"/>
          <w:right w:val="nil"/>
          <w:between w:val="nil"/>
        </w:pBdr>
        <w:ind w:right="-336"/>
        <w:jc w:val="both"/>
        <w:rPr>
          <w:rFonts w:ascii="Arial" w:eastAsia="Arial" w:hAnsi="Arial" w:cs="Arial"/>
          <w:color w:val="000000"/>
          <w:sz w:val="22"/>
          <w:szCs w:val="22"/>
          <w:highlight w:val="green"/>
        </w:rPr>
      </w:pP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 xml:space="preserve">SUSTENTO LEGAL </w:t>
      </w:r>
    </w:p>
    <w:p w:rsidR="004730DA" w:rsidRDefault="004730DA">
      <w:pPr>
        <w:pBdr>
          <w:top w:val="nil"/>
          <w:left w:val="nil"/>
          <w:bottom w:val="nil"/>
          <w:right w:val="nil"/>
          <w:between w:val="nil"/>
        </w:pBdr>
        <w:jc w:val="both"/>
        <w:rPr>
          <w:rFonts w:ascii="Play" w:eastAsia="Play" w:hAnsi="Play" w:cs="Play"/>
          <w:i/>
          <w:color w:val="000000"/>
          <w:sz w:val="20"/>
          <w:szCs w:val="20"/>
        </w:rPr>
      </w:pPr>
    </w:p>
    <w:p w:rsidR="004730DA" w:rsidRDefault="00CD3D44">
      <w:pPr>
        <w:pBdr>
          <w:top w:val="nil"/>
          <w:left w:val="nil"/>
          <w:bottom w:val="nil"/>
          <w:right w:val="nil"/>
          <w:between w:val="nil"/>
        </w:pBdr>
        <w:jc w:val="both"/>
        <w:rPr>
          <w:rFonts w:ascii="Play" w:eastAsia="Play" w:hAnsi="Play" w:cs="Play"/>
          <w:color w:val="000000"/>
          <w:sz w:val="20"/>
          <w:szCs w:val="20"/>
        </w:rPr>
      </w:pPr>
      <w:r>
        <w:rPr>
          <w:rFonts w:ascii="Play" w:eastAsia="Play" w:hAnsi="Play" w:cs="Play"/>
          <w:color w:val="000000"/>
          <w:sz w:val="20"/>
          <w:szCs w:val="20"/>
        </w:rPr>
        <w:t>Ley Orgánica del Sistema Nacional de Contratación Pública</w:t>
      </w:r>
    </w:p>
    <w:p w:rsidR="004730DA" w:rsidRDefault="004730DA">
      <w:pPr>
        <w:pBdr>
          <w:top w:val="nil"/>
          <w:left w:val="nil"/>
          <w:bottom w:val="nil"/>
          <w:right w:val="nil"/>
          <w:between w:val="nil"/>
        </w:pBdr>
        <w:jc w:val="both"/>
        <w:rPr>
          <w:rFonts w:ascii="Play" w:eastAsia="Play" w:hAnsi="Play" w:cs="Play"/>
          <w:i/>
          <w:color w:val="000000"/>
          <w:sz w:val="20"/>
          <w:szCs w:val="20"/>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“Art. 52.1. - Contrataciones de ínfima cuantía. - Se podrá contratar bajo esta modalidad las contrataciones para la adquisición de </w:t>
      </w:r>
      <w:r>
        <w:rPr>
          <w:rFonts w:ascii="Play" w:eastAsia="Play" w:hAnsi="Play" w:cs="Play"/>
          <w:b/>
          <w:i/>
          <w:color w:val="000000"/>
          <w:sz w:val="18"/>
          <w:szCs w:val="18"/>
        </w:rPr>
        <w:t>bienes o prestación de servicios, incluidos los de consultoría</w:t>
      </w:r>
      <w:r>
        <w:rPr>
          <w:rFonts w:ascii="Play" w:eastAsia="Play" w:hAnsi="Play" w:cs="Play"/>
          <w:i/>
          <w:color w:val="000000"/>
          <w:sz w:val="18"/>
          <w:szCs w:val="18"/>
        </w:rPr>
        <w:t xml:space="preserve">, o contrataciones de obra </w:t>
      </w:r>
      <w:r>
        <w:rPr>
          <w:rFonts w:ascii="Play" w:eastAsia="Play" w:hAnsi="Play" w:cs="Play"/>
          <w:b/>
          <w:i/>
          <w:color w:val="000000"/>
          <w:sz w:val="18"/>
          <w:szCs w:val="18"/>
        </w:rPr>
        <w:t>cuya cuantía sea igual o inferior a diez mil dólares de los Estados Unidos de América (USD $10.000)</w:t>
      </w:r>
      <w:r>
        <w:rPr>
          <w:rFonts w:ascii="Play" w:eastAsia="Play" w:hAnsi="Play" w:cs="Play"/>
          <w:i/>
          <w:color w:val="000000"/>
          <w:sz w:val="18"/>
          <w:szCs w:val="18"/>
        </w:rPr>
        <w:t>; siempre que no consten en el Catálogo Electrónico.</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Estas contrataciones no podrán emplearse como medio de evasión de los procedimientos precontractuales, o como una contratación constante y recurrente durante el ejercicio fiscal o para subdividir contratos, lo cual será verificado y regulado por el SERCOP con la finalidad de detectar subdivisión de contratos o cualquier evasión o incumplimiento de los fines de esta modalidad, en cuyo caso será puesto en conocimiento de la Contraloría General del Estado para que inicie las acciones pertinentes.”.</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jc w:val="both"/>
        <w:rPr>
          <w:rFonts w:ascii="Play" w:eastAsia="Play" w:hAnsi="Play" w:cs="Play"/>
          <w:sz w:val="20"/>
          <w:szCs w:val="20"/>
        </w:rPr>
      </w:pPr>
      <w:r>
        <w:rPr>
          <w:rFonts w:ascii="Play" w:eastAsia="Play" w:hAnsi="Play" w:cs="Play"/>
          <w:sz w:val="20"/>
          <w:szCs w:val="20"/>
        </w:rPr>
        <w:t>Reglamento General de la Ley Orgánica del Sistema Nacional de Contratación Pública</w:t>
      </w:r>
    </w:p>
    <w:p w:rsidR="004730DA" w:rsidRDefault="004730DA">
      <w:pPr>
        <w:jc w:val="both"/>
        <w:rPr>
          <w:rFonts w:ascii="Play" w:eastAsia="Play" w:hAnsi="Play" w:cs="Play"/>
          <w:i/>
          <w:sz w:val="20"/>
          <w:szCs w:val="20"/>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rPr>
        <w:t>“</w:t>
      </w:r>
      <w:r>
        <w:rPr>
          <w:rFonts w:ascii="Play" w:eastAsia="Play" w:hAnsi="Play" w:cs="Play"/>
          <w:i/>
          <w:color w:val="000000"/>
          <w:sz w:val="18"/>
          <w:szCs w:val="18"/>
        </w:rPr>
        <w:t>Art. 49.- Determinación del presupuesto referencial. - Las entidades contratantes deberán contar con un presupuesto</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referencial apegado a la realidad de mercado al momento de publicar sus procedimientos de contratación</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Los instrumentos de determinación del presupuesto referencial serán los siguientes:</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1.</w:t>
      </w:r>
      <w:r>
        <w:rPr>
          <w:rFonts w:ascii="Play" w:eastAsia="Play" w:hAnsi="Play" w:cs="Play"/>
          <w:i/>
          <w:color w:val="000000"/>
          <w:sz w:val="18"/>
          <w:szCs w:val="18"/>
        </w:rPr>
        <w:tab/>
        <w:t>Estudio de mercado: Para el caso de adquisición de bienes y prestación de servicios, el cual deberá contener mínimo lo siguiente:</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e) Las entidades contratantes procurarán contar con al menos tres proformas, las cuales podrán ser obtenidas a través de la herramienta de "Necesidades de contratación y recepción de proformas", y deberán contar con fecha de emisión, plazo de ejecución y tiempo de vigencia. (…).”</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En aquellos bienes o servicios con precio oficial fijado por el Gobierno Nacional mediante Decreto Ejecutivo o algún otro mecanismo legalmente reconocido para el efecto, no será aplicable la metodología para la determinación de presupuesto referencial. (…)”</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 </w:t>
      </w:r>
      <w:r>
        <w:rPr>
          <w:rFonts w:ascii="Play" w:eastAsia="Play" w:hAnsi="Play" w:cs="Play"/>
          <w:b/>
          <w:i/>
          <w:color w:val="000000"/>
          <w:sz w:val="18"/>
          <w:szCs w:val="18"/>
        </w:rPr>
        <w:t>En los procedimientos de ínfima cuantía, el instrumento de determinación del presupuesto referencial deberá cumplir únicamente lo establecido en el numeral 1.e del presente artículo</w:t>
      </w:r>
      <w:r>
        <w:rPr>
          <w:rFonts w:ascii="Play" w:eastAsia="Play" w:hAnsi="Play" w:cs="Play"/>
          <w:i/>
          <w:color w:val="000000"/>
          <w:sz w:val="18"/>
          <w:szCs w:val="18"/>
        </w:rPr>
        <w:t xml:space="preserve">, </w:t>
      </w:r>
      <w:r>
        <w:rPr>
          <w:rFonts w:ascii="Play" w:eastAsia="Play" w:hAnsi="Play" w:cs="Play"/>
          <w:b/>
          <w:i/>
          <w:color w:val="000000"/>
          <w:sz w:val="18"/>
          <w:szCs w:val="18"/>
        </w:rPr>
        <w:t>y se entenderá efectuado una vez cumplido lo señalado en el artículo 149 del presente Reglamento (…)”</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“Art. 50.- Monto del presupuesto referencial. - El presupuesto referencial se utilizará para determinar el procedimiento de contratación a seguir, valor que no deberá incluir impuestos.” </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“Art. 149.- Contrataciones de ínfima cuantía. - El procedimiento de ínfima cuantía será el siguiente:</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1. La unidad requirente de la entidad contratante justificará el requerimiento y levantará las especificaciones técnicas o términos de referencia a contratarse;</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2. Serán autorizadas por la máxima autoridad o su delegado;</w:t>
      </w:r>
    </w:p>
    <w:p w:rsidR="004730DA" w:rsidRDefault="00CD3D44">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i/>
          <w:color w:val="000000"/>
          <w:sz w:val="18"/>
          <w:szCs w:val="18"/>
        </w:rPr>
        <w:t xml:space="preserve">3. No será necesaria la elaboración del pliego, tampoco será necesario la publicación en el PAC. </w:t>
      </w:r>
      <w:r>
        <w:rPr>
          <w:rFonts w:ascii="Play" w:eastAsia="Play" w:hAnsi="Play" w:cs="Play"/>
          <w:b/>
          <w:i/>
          <w:color w:val="000000"/>
          <w:sz w:val="18"/>
          <w:szCs w:val="18"/>
        </w:rPr>
        <w:t>El estudio de mercado se considerará efectuado al realizar lo previsto en el numeral 6 de este artículo</w:t>
      </w:r>
      <w:r>
        <w:rPr>
          <w:rFonts w:ascii="Play" w:eastAsia="Play" w:hAnsi="Play" w:cs="Play"/>
          <w:i/>
          <w:color w:val="000000"/>
          <w:sz w:val="18"/>
          <w:szCs w:val="18"/>
        </w:rPr>
        <w:t xml:space="preserve">, </w:t>
      </w:r>
      <w:r>
        <w:rPr>
          <w:rFonts w:ascii="Play" w:eastAsia="Play" w:hAnsi="Play" w:cs="Play"/>
          <w:b/>
          <w:i/>
          <w:color w:val="000000"/>
          <w:sz w:val="18"/>
          <w:szCs w:val="18"/>
        </w:rPr>
        <w:t>y será en ese momento del procedimiento en donde se requiera la certificación presupuestaria;</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4. La entidad contratante procederá a publicar, en la herramienta informática habilitada por el Servicio Nacional de Contratación Pública, un aviso público con lo que requiere contratar por ínfima cuantía, así como la información de contacto y término para la presentación de proformas. Incluirá además el proyecto de orden de compra a ser emitido, con base en el modelo obligatorio desarrollado por el Servicio Nacional de Contratación Pública. La entidad fijará el tiempo mínimo que deberá tener vigencia la proforma;</w:t>
      </w:r>
    </w:p>
    <w:p w:rsidR="004730DA" w:rsidRDefault="00CD3D44">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i/>
          <w:color w:val="000000"/>
          <w:sz w:val="18"/>
          <w:szCs w:val="18"/>
        </w:rPr>
        <w:t xml:space="preserve">5. El proveedor interesado remitirá su proforma a la entidad contratante dentro del término establecido. La entidad contratante sentará una razón de las proformas recibidas. </w:t>
      </w:r>
      <w:r>
        <w:rPr>
          <w:rFonts w:ascii="Play" w:eastAsia="Play" w:hAnsi="Play" w:cs="Play"/>
          <w:b/>
          <w:i/>
          <w:color w:val="000000"/>
          <w:sz w:val="18"/>
          <w:szCs w:val="18"/>
        </w:rPr>
        <w:t>La proforma tendrá los efectos de la oferta;</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b/>
          <w:i/>
          <w:color w:val="000000"/>
          <w:sz w:val="18"/>
          <w:szCs w:val="18"/>
        </w:rPr>
        <w:t>6. Con las proformas presentadas, la entidad contratante de forma directa seleccionará al proveedor que cumpla con el mejor costo, conforme lo dispuesto en el presente Reglamento,</w:t>
      </w:r>
      <w:r>
        <w:rPr>
          <w:rFonts w:ascii="Play" w:eastAsia="Play" w:hAnsi="Play" w:cs="Play"/>
          <w:i/>
          <w:color w:val="000000"/>
          <w:sz w:val="18"/>
          <w:szCs w:val="18"/>
        </w:rPr>
        <w:t xml:space="preserve"> verificando que el proveedor no se encuentre incurso en inhabilidades o prohibiciones para celebrar contratos con el Estado;</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7.- Con el proveedor seleccionado se suscribirá la respectiva orden de compra y se dará inicio a su ejecución, conforme a las condiciones establecidas en la misma;</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8. Para la ejecución de la orden de compra, se aplicará la normativa prevista para los contratos en general;</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9. Una vez emitida la orden de compra, la información de la contratación por ínfima cuantía deberá ser reportada obligatoriamente en el término máximo de cinco (5) días en el Portal de Contratación Pública.”.</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“Art. 150.1.- Casos especiales de bienes y/o servicios. - Las entidades contratantes </w:t>
      </w:r>
      <w:r>
        <w:rPr>
          <w:rFonts w:ascii="Play" w:eastAsia="Play" w:hAnsi="Play" w:cs="Play"/>
          <w:i/>
          <w:color w:val="000000"/>
          <w:sz w:val="18"/>
          <w:szCs w:val="18"/>
          <w:u w:val="single"/>
        </w:rPr>
        <w:t>podrán realizar varias ínfimas cuantías en el ejercicio fiscal de los mismos bienes y/o servicios, pudiendo exceder la sumatoria de todas estas contrataciones, el valor de diez mil dólares de los Estados Unidos de América (USD $10.000), exclusivamente en los siguientes casos:</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1. Los alimentos y bebidas destinados a la alimentación humana y animal, de unidades civiles, policiales o militares, ubicadas en circunscripciones rurales o fronterizas;</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2. La adquisición de combustibles en operaciones de la entidad, cuyo monto mensual no podrá superar la cuantía establecida para los procedimientos de ínfima cuantía;</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u w:val="single"/>
        </w:rPr>
      </w:pPr>
      <w:r>
        <w:rPr>
          <w:rFonts w:ascii="Play" w:eastAsia="Play" w:hAnsi="Play" w:cs="Play"/>
          <w:i/>
          <w:color w:val="000000"/>
          <w:sz w:val="18"/>
          <w:szCs w:val="18"/>
          <w:u w:val="single"/>
        </w:rPr>
        <w:t>3. La adquisición de repuestos o accesorios, siempre que por razones de oportunidad no sea posible emplear el procedimiento de Régimen Especial regulado en el presente Reglamento General; y,</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4. Cuando, por deficiencia en la planificación de la entidad contratante, se requiera adquirir bienes y/o servicios, distintos a los detallados en los numerales precedentes, sobre los cuales ya se ejecutaron contrataciones de ínfima cuantía en el respectivo periodo fiscal, conforme el artículo 150 del presente Reglamento. Esto último, sin perjuicio de las responsabilidades administrativas, civiles y/o penales a que hubiere lugar en caso de que los órganos de control competentes determinen la existencia de subdivisión de contratos que afecte a los principios y objetivos prioritarios del Estado en materia de contratación pública.</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b/>
          <w:i/>
          <w:color w:val="000000"/>
          <w:sz w:val="18"/>
          <w:szCs w:val="18"/>
        </w:rPr>
        <w:t>Art. 150.2.- Casos especiales para la investigación responsable</w:t>
      </w:r>
      <w:r>
        <w:rPr>
          <w:rFonts w:ascii="Play" w:eastAsia="Play" w:hAnsi="Play" w:cs="Play"/>
          <w:i/>
          <w:color w:val="000000"/>
          <w:sz w:val="18"/>
          <w:szCs w:val="18"/>
        </w:rPr>
        <w:t xml:space="preserve">. - De conformidad con el artículo 66 del Código Orgánico de la Economía Social de los Conocimientos, Creatividad e Innovación, las universidades; </w:t>
      </w:r>
      <w:r>
        <w:rPr>
          <w:rFonts w:ascii="Play" w:eastAsia="Play" w:hAnsi="Play" w:cs="Play"/>
          <w:b/>
          <w:i/>
          <w:color w:val="000000"/>
          <w:sz w:val="18"/>
          <w:szCs w:val="18"/>
        </w:rPr>
        <w:t>escuelas politécnicas públicas</w:t>
      </w:r>
      <w:r>
        <w:rPr>
          <w:rFonts w:ascii="Play" w:eastAsia="Play" w:hAnsi="Play" w:cs="Play"/>
          <w:i/>
          <w:color w:val="000000"/>
          <w:sz w:val="18"/>
          <w:szCs w:val="18"/>
        </w:rPr>
        <w:t xml:space="preserve">; institutos superiores técnicos, tecnológicos, pedagógicos, de artes públicos y conservatorios superiores públicos; y, los institutos públicos de investigación </w:t>
      </w:r>
      <w:r>
        <w:rPr>
          <w:rFonts w:ascii="Play" w:eastAsia="Play" w:hAnsi="Play" w:cs="Play"/>
          <w:b/>
          <w:i/>
          <w:color w:val="000000"/>
          <w:sz w:val="18"/>
          <w:szCs w:val="18"/>
        </w:rPr>
        <w:t>podrán realizar varias ínfimas cuantías en el año</w:t>
      </w:r>
      <w:r>
        <w:rPr>
          <w:rFonts w:ascii="Play" w:eastAsia="Play" w:hAnsi="Play" w:cs="Play"/>
          <w:i/>
          <w:color w:val="000000"/>
          <w:sz w:val="18"/>
          <w:szCs w:val="18"/>
        </w:rPr>
        <w:t xml:space="preserve"> pudiendo exceder la sumatoria de todas estas contrataciones el valor de diez mil dólares de los Estados Unidos de América (USD $10.000), </w:t>
      </w:r>
      <w:r>
        <w:rPr>
          <w:rFonts w:ascii="Play" w:eastAsia="Play" w:hAnsi="Play" w:cs="Play"/>
          <w:b/>
          <w:i/>
          <w:color w:val="000000"/>
          <w:sz w:val="18"/>
          <w:szCs w:val="18"/>
        </w:rPr>
        <w:t>en los siguientes casos:</w:t>
      </w:r>
    </w:p>
    <w:p w:rsidR="004730DA" w:rsidRDefault="004730DA">
      <w:pPr>
        <w:pBdr>
          <w:top w:val="nil"/>
          <w:left w:val="nil"/>
          <w:bottom w:val="nil"/>
          <w:right w:val="nil"/>
          <w:between w:val="nil"/>
        </w:pBdr>
        <w:ind w:left="708"/>
        <w:jc w:val="both"/>
        <w:rPr>
          <w:rFonts w:ascii="Play" w:eastAsia="Play" w:hAnsi="Play" w:cs="Play"/>
          <w:i/>
          <w:color w:val="000000"/>
          <w:sz w:val="18"/>
          <w:szCs w:val="18"/>
        </w:rPr>
      </w:pPr>
    </w:p>
    <w:p w:rsidR="004730DA" w:rsidRDefault="00CD3D44">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i/>
          <w:color w:val="000000"/>
          <w:sz w:val="18"/>
          <w:szCs w:val="18"/>
        </w:rPr>
        <w:t xml:space="preserve">1. Las </w:t>
      </w:r>
      <w:r>
        <w:rPr>
          <w:rFonts w:ascii="Play" w:eastAsia="Play" w:hAnsi="Play" w:cs="Play"/>
          <w:b/>
          <w:i/>
          <w:color w:val="000000"/>
          <w:sz w:val="18"/>
          <w:szCs w:val="18"/>
        </w:rPr>
        <w:t>contrataciones de servicios y/o adquisición de bienes para realizar actividades tendientes a la investigación científica responsable</w:t>
      </w:r>
      <w:r>
        <w:rPr>
          <w:rFonts w:ascii="Play" w:eastAsia="Play" w:hAnsi="Play" w:cs="Play"/>
          <w:i/>
          <w:color w:val="000000"/>
          <w:sz w:val="18"/>
          <w:szCs w:val="18"/>
        </w:rPr>
        <w:t xml:space="preserve">, procesos investigativos pedagógicos, el desarrollo tecnológico y </w:t>
      </w:r>
      <w:r>
        <w:rPr>
          <w:rFonts w:ascii="Play" w:eastAsia="Play" w:hAnsi="Play" w:cs="Play"/>
          <w:b/>
          <w:i/>
          <w:color w:val="000000"/>
          <w:sz w:val="18"/>
          <w:szCs w:val="18"/>
        </w:rPr>
        <w:t>adquisición de insumos de laboratorio.</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2. La adquisición de bienes o servicios en el extranjero a través de compras en líneas o tiendas virtuales. Estas contrataciones estarán exoneradas del procedimiento de verificación de no existencia de producción u oferta nacional y la autorización de licencias de importación para la contratación pública de bienes importados.</w:t>
      </w:r>
    </w:p>
    <w:p w:rsidR="004730DA" w:rsidRDefault="00CD3D4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3. Las contrataciones de servicios de </w:t>
      </w:r>
      <w:proofErr w:type="spellStart"/>
      <w:r>
        <w:rPr>
          <w:rFonts w:ascii="Play" w:eastAsia="Play" w:hAnsi="Play" w:cs="Play"/>
          <w:i/>
          <w:color w:val="000000"/>
          <w:sz w:val="18"/>
          <w:szCs w:val="18"/>
        </w:rPr>
        <w:t>courier</w:t>
      </w:r>
      <w:proofErr w:type="spellEnd"/>
      <w:r>
        <w:rPr>
          <w:rFonts w:ascii="Play" w:eastAsia="Play" w:hAnsi="Play" w:cs="Play"/>
          <w:i/>
          <w:color w:val="000000"/>
          <w:sz w:val="18"/>
          <w:szCs w:val="18"/>
        </w:rPr>
        <w:t xml:space="preserve"> nacional para la importación de bienes y/o servicios adquiridos a través de tiendas virtuales; y, servicio de </w:t>
      </w:r>
      <w:proofErr w:type="spellStart"/>
      <w:r>
        <w:rPr>
          <w:rFonts w:ascii="Play" w:eastAsia="Play" w:hAnsi="Play" w:cs="Play"/>
          <w:i/>
          <w:color w:val="000000"/>
          <w:sz w:val="18"/>
          <w:szCs w:val="18"/>
        </w:rPr>
        <w:t>courier</w:t>
      </w:r>
      <w:proofErr w:type="spellEnd"/>
      <w:r>
        <w:rPr>
          <w:rFonts w:ascii="Play" w:eastAsia="Play" w:hAnsi="Play" w:cs="Play"/>
          <w:i/>
          <w:color w:val="000000"/>
          <w:sz w:val="18"/>
          <w:szCs w:val="18"/>
        </w:rPr>
        <w:t xml:space="preserve"> nacional o internacional para el envío de muestras derivadas de proyectos de investigación científica.</w:t>
      </w:r>
    </w:p>
    <w:p w:rsidR="004730DA" w:rsidRDefault="00CD3D44">
      <w:pPr>
        <w:ind w:left="708"/>
        <w:jc w:val="both"/>
        <w:rPr>
          <w:rFonts w:ascii="Play" w:eastAsia="Play" w:hAnsi="Play" w:cs="Play"/>
          <w:i/>
          <w:sz w:val="18"/>
          <w:szCs w:val="18"/>
        </w:rPr>
      </w:pPr>
      <w:r>
        <w:rPr>
          <w:rFonts w:ascii="Play" w:eastAsia="Play" w:hAnsi="Play" w:cs="Play"/>
          <w:i/>
          <w:sz w:val="18"/>
          <w:szCs w:val="18"/>
        </w:rPr>
        <w:t xml:space="preserve">Art. 152.- Uso de herramienta. - </w:t>
      </w:r>
      <w:r>
        <w:rPr>
          <w:rFonts w:ascii="Play" w:eastAsia="Play" w:hAnsi="Play" w:cs="Play"/>
          <w:b/>
          <w:i/>
          <w:sz w:val="18"/>
          <w:szCs w:val="18"/>
        </w:rPr>
        <w:t>En todas las contrataciones</w:t>
      </w:r>
      <w:r>
        <w:rPr>
          <w:rFonts w:ascii="Play" w:eastAsia="Play" w:hAnsi="Play" w:cs="Play"/>
          <w:i/>
          <w:sz w:val="18"/>
          <w:szCs w:val="18"/>
        </w:rPr>
        <w:t xml:space="preserve"> que se efectúen por el procedimiento </w:t>
      </w:r>
      <w:r>
        <w:rPr>
          <w:rFonts w:ascii="Play" w:eastAsia="Play" w:hAnsi="Play" w:cs="Play"/>
          <w:b/>
          <w:i/>
          <w:sz w:val="18"/>
          <w:szCs w:val="18"/>
        </w:rPr>
        <w:t>de ínfima cuantía</w:t>
      </w:r>
      <w:r>
        <w:rPr>
          <w:rFonts w:ascii="Play" w:eastAsia="Play" w:hAnsi="Play" w:cs="Play"/>
          <w:i/>
          <w:sz w:val="18"/>
          <w:szCs w:val="18"/>
        </w:rPr>
        <w:t>, previo al inicio de la misma, las entidades contratantes deberán contar con la determinación de la necesidad del objeto de contratación, especificaciones técnicas o términos de referencia.</w:t>
      </w:r>
    </w:p>
    <w:p w:rsidR="004730DA" w:rsidRDefault="004730DA">
      <w:pPr>
        <w:ind w:left="708"/>
        <w:jc w:val="both"/>
        <w:rPr>
          <w:rFonts w:ascii="Play" w:eastAsia="Play" w:hAnsi="Play" w:cs="Play"/>
          <w:i/>
          <w:sz w:val="18"/>
          <w:szCs w:val="18"/>
        </w:rPr>
      </w:pPr>
    </w:p>
    <w:p w:rsidR="004730DA" w:rsidRDefault="00CD3D44">
      <w:pPr>
        <w:ind w:left="708"/>
        <w:jc w:val="both"/>
        <w:rPr>
          <w:rFonts w:ascii="Play" w:eastAsia="Play" w:hAnsi="Play" w:cs="Play"/>
          <w:i/>
          <w:sz w:val="18"/>
          <w:szCs w:val="18"/>
        </w:rPr>
      </w:pPr>
      <w:r>
        <w:rPr>
          <w:rFonts w:ascii="Play" w:eastAsia="Play" w:hAnsi="Play" w:cs="Play"/>
          <w:i/>
          <w:sz w:val="18"/>
          <w:szCs w:val="18"/>
        </w:rPr>
        <w:t>Una vez cumplido el inciso anterior</w:t>
      </w:r>
      <w:r>
        <w:rPr>
          <w:rFonts w:ascii="Play" w:eastAsia="Play" w:hAnsi="Play" w:cs="Play"/>
          <w:b/>
          <w:i/>
          <w:sz w:val="18"/>
          <w:szCs w:val="18"/>
        </w:rPr>
        <w:t>, la entidad contratante dará inicio a la selección del proveedor, con la publicación del objeto de la contratación en la herramienta, "Necesidades Ínfimas Cuantías</w:t>
      </w:r>
      <w:r>
        <w:rPr>
          <w:rFonts w:ascii="Play" w:eastAsia="Play" w:hAnsi="Play" w:cs="Play"/>
          <w:i/>
          <w:sz w:val="18"/>
          <w:szCs w:val="18"/>
        </w:rPr>
        <w:t xml:space="preserve">", que se encuentra disponible en el Portal de Contratación Pública, cuya utilización es de carácter obligatorio. Se procurará que las entidades contratantes obtengan mínimo tres proformas, que servirán para realizar el respectivo instrumento de determinación del presupuesto referencial. </w:t>
      </w:r>
      <w:r>
        <w:rPr>
          <w:rFonts w:ascii="Play" w:eastAsia="Play" w:hAnsi="Play" w:cs="Play"/>
          <w:b/>
          <w:i/>
          <w:sz w:val="18"/>
          <w:szCs w:val="18"/>
        </w:rPr>
        <w:t>En el caso de que no sea posible contar con ese número mínimo, la entidad contratante bajo su responsabilidad podrá continuar con el procedimiento, incluso si hubiere recibido una sola proforma. (…)”</w:t>
      </w:r>
    </w:p>
    <w:p w:rsidR="004730DA" w:rsidRDefault="004730DA">
      <w:pPr>
        <w:rPr>
          <w:rFonts w:ascii="Play" w:eastAsia="Play" w:hAnsi="Play" w:cs="Play"/>
          <w:i/>
          <w:sz w:val="18"/>
          <w:szCs w:val="18"/>
        </w:rPr>
      </w:pPr>
    </w:p>
    <w:p w:rsidR="004730DA" w:rsidRDefault="00CD3D44">
      <w:pPr>
        <w:tabs>
          <w:tab w:val="left" w:pos="3510"/>
        </w:tabs>
        <w:jc w:val="both"/>
        <w:rPr>
          <w:rFonts w:ascii="Play" w:eastAsia="Play" w:hAnsi="Play" w:cs="Play"/>
          <w:sz w:val="20"/>
          <w:szCs w:val="20"/>
          <w:highlight w:val="yellow"/>
        </w:rPr>
      </w:pPr>
      <w:r>
        <w:rPr>
          <w:rFonts w:ascii="Play" w:eastAsia="Play" w:hAnsi="Play" w:cs="Play"/>
          <w:sz w:val="20"/>
          <w:szCs w:val="20"/>
          <w:highlight w:val="yellow"/>
        </w:rPr>
        <w:t>(SI SE CUENTA CON MENOS DE TRES PROFORMAS DEBE IR EL SIGUIENTE TEXTO)</w:t>
      </w:r>
    </w:p>
    <w:p w:rsidR="004730DA" w:rsidRDefault="004730DA">
      <w:pPr>
        <w:tabs>
          <w:tab w:val="left" w:pos="3510"/>
        </w:tabs>
        <w:jc w:val="both"/>
        <w:rPr>
          <w:rFonts w:ascii="Play" w:eastAsia="Play" w:hAnsi="Play" w:cs="Play"/>
          <w:i/>
          <w:sz w:val="20"/>
          <w:szCs w:val="20"/>
          <w:highlight w:val="yellow"/>
        </w:rPr>
      </w:pPr>
    </w:p>
    <w:p w:rsidR="004730DA" w:rsidRDefault="00CD3D44">
      <w:pPr>
        <w:jc w:val="both"/>
        <w:rPr>
          <w:rFonts w:ascii="Play" w:eastAsia="Play" w:hAnsi="Play" w:cs="Play"/>
          <w:b/>
          <w:sz w:val="20"/>
          <w:szCs w:val="20"/>
          <w:highlight w:val="yellow"/>
        </w:rPr>
      </w:pPr>
      <w:r>
        <w:rPr>
          <w:rFonts w:ascii="Play" w:eastAsia="Play" w:hAnsi="Play" w:cs="Play"/>
          <w:b/>
          <w:sz w:val="20"/>
          <w:szCs w:val="20"/>
          <w:highlight w:val="yellow"/>
        </w:rPr>
        <w:t>Constitución de la República del Ecuador:</w:t>
      </w:r>
    </w:p>
    <w:p w:rsidR="004730DA" w:rsidRDefault="004730DA">
      <w:pPr>
        <w:jc w:val="both"/>
        <w:rPr>
          <w:rFonts w:ascii="Play" w:eastAsia="Play" w:hAnsi="Play" w:cs="Play"/>
          <w:sz w:val="20"/>
          <w:szCs w:val="20"/>
          <w:highlight w:val="yellow"/>
        </w:rPr>
      </w:pPr>
    </w:p>
    <w:p w:rsidR="004730DA" w:rsidRDefault="00CD3D44">
      <w:pPr>
        <w:ind w:left="708"/>
        <w:jc w:val="both"/>
        <w:rPr>
          <w:rFonts w:ascii="Play" w:eastAsia="Play" w:hAnsi="Play" w:cs="Play"/>
          <w:i/>
          <w:sz w:val="18"/>
          <w:szCs w:val="18"/>
          <w:highlight w:val="yellow"/>
        </w:rPr>
      </w:pPr>
      <w:r>
        <w:rPr>
          <w:rFonts w:ascii="Play" w:eastAsia="Play" w:hAnsi="Play" w:cs="Play"/>
          <w:i/>
          <w:sz w:val="18"/>
          <w:szCs w:val="18"/>
          <w:highlight w:val="yellow"/>
        </w:rPr>
        <w:t>“Art. 425.-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w:t>
      </w:r>
    </w:p>
    <w:p w:rsidR="004730DA" w:rsidRDefault="004730DA">
      <w:pPr>
        <w:jc w:val="both"/>
        <w:rPr>
          <w:rFonts w:ascii="Play" w:eastAsia="Play" w:hAnsi="Play" w:cs="Play"/>
          <w:sz w:val="20"/>
          <w:szCs w:val="20"/>
          <w:highlight w:val="yellow"/>
        </w:rPr>
      </w:pPr>
    </w:p>
    <w:p w:rsidR="004730DA" w:rsidRDefault="00CD3D44">
      <w:pPr>
        <w:jc w:val="both"/>
        <w:rPr>
          <w:rFonts w:ascii="Play" w:eastAsia="Play" w:hAnsi="Play" w:cs="Play"/>
          <w:b/>
          <w:sz w:val="20"/>
          <w:szCs w:val="20"/>
          <w:highlight w:val="yellow"/>
        </w:rPr>
      </w:pPr>
      <w:r>
        <w:rPr>
          <w:rFonts w:ascii="Play" w:eastAsia="Play" w:hAnsi="Play" w:cs="Play"/>
          <w:b/>
          <w:sz w:val="20"/>
          <w:szCs w:val="20"/>
          <w:highlight w:val="yellow"/>
        </w:rPr>
        <w:t>Código Orgánico Administrativo:</w:t>
      </w:r>
    </w:p>
    <w:p w:rsidR="004730DA" w:rsidRDefault="004730DA">
      <w:pPr>
        <w:jc w:val="both"/>
        <w:rPr>
          <w:rFonts w:ascii="Play" w:eastAsia="Play" w:hAnsi="Play" w:cs="Play"/>
          <w:sz w:val="20"/>
          <w:szCs w:val="20"/>
          <w:highlight w:val="yellow"/>
        </w:rPr>
      </w:pPr>
    </w:p>
    <w:p w:rsidR="004730DA" w:rsidRDefault="00CD3D44">
      <w:pPr>
        <w:ind w:left="708"/>
        <w:jc w:val="both"/>
        <w:rPr>
          <w:rFonts w:ascii="Play" w:eastAsia="Play" w:hAnsi="Play" w:cs="Play"/>
          <w:i/>
          <w:sz w:val="18"/>
          <w:szCs w:val="18"/>
          <w:highlight w:val="yellow"/>
        </w:rPr>
      </w:pPr>
      <w:r>
        <w:rPr>
          <w:rFonts w:ascii="Play" w:eastAsia="Play" w:hAnsi="Play" w:cs="Play"/>
          <w:i/>
          <w:sz w:val="18"/>
          <w:szCs w:val="18"/>
          <w:highlight w:val="yellow"/>
        </w:rPr>
        <w:t>“Art. 18.- Principio de interdicción de la arbitrariedad. Los organismos que conforman el sector público, deberán emitir sus actos conforme a los principios de juridicidad e igualdad y no podrán realizar interpretaciones arbitrarias.</w:t>
      </w:r>
    </w:p>
    <w:p w:rsidR="004730DA" w:rsidRDefault="00CD3D44">
      <w:pPr>
        <w:ind w:left="708"/>
        <w:jc w:val="both"/>
        <w:rPr>
          <w:rFonts w:ascii="Play" w:eastAsia="Play" w:hAnsi="Play" w:cs="Play"/>
          <w:i/>
          <w:sz w:val="18"/>
          <w:szCs w:val="18"/>
          <w:highlight w:val="yellow"/>
        </w:rPr>
      </w:pPr>
      <w:r>
        <w:rPr>
          <w:rFonts w:ascii="Play" w:eastAsia="Play" w:hAnsi="Play" w:cs="Play"/>
          <w:i/>
          <w:sz w:val="18"/>
          <w:szCs w:val="18"/>
          <w:highlight w:val="yellow"/>
        </w:rPr>
        <w:t>El ejercicio de las potestades discrecionales, observará los derechos individuales, el deber de motivación y la debida razonabilidad.”</w:t>
      </w:r>
    </w:p>
    <w:p w:rsidR="004730DA" w:rsidRDefault="00CD3D44">
      <w:pPr>
        <w:jc w:val="both"/>
        <w:rPr>
          <w:rFonts w:ascii="Play" w:eastAsia="Play" w:hAnsi="Play" w:cs="Play"/>
          <w:sz w:val="20"/>
          <w:szCs w:val="20"/>
          <w:highlight w:val="yellow"/>
        </w:rPr>
      </w:pPr>
      <w:r>
        <w:rPr>
          <w:rFonts w:ascii="Play" w:eastAsia="Play" w:hAnsi="Play" w:cs="Play"/>
          <w:sz w:val="20"/>
          <w:szCs w:val="20"/>
          <w:highlight w:val="yellow"/>
        </w:rPr>
        <w:tab/>
      </w:r>
    </w:p>
    <w:p w:rsidR="004730DA" w:rsidRDefault="00CD3D44">
      <w:pPr>
        <w:spacing w:line="276" w:lineRule="auto"/>
        <w:jc w:val="both"/>
        <w:rPr>
          <w:rFonts w:ascii="Play" w:eastAsia="Play" w:hAnsi="Play" w:cs="Play"/>
          <w:color w:val="000000"/>
          <w:sz w:val="20"/>
          <w:szCs w:val="20"/>
          <w:highlight w:val="white"/>
        </w:rPr>
      </w:pPr>
      <w:r>
        <w:rPr>
          <w:rFonts w:ascii="Play" w:eastAsia="Play" w:hAnsi="Play" w:cs="Play"/>
          <w:color w:val="000000"/>
          <w:sz w:val="20"/>
          <w:szCs w:val="20"/>
          <w:highlight w:val="yellow"/>
        </w:rPr>
        <w:t xml:space="preserve">Por lo antes expuesto, considerando las normas legales citadas, se deja sentado que </w:t>
      </w:r>
      <w:r>
        <w:rPr>
          <w:rFonts w:ascii="Play" w:eastAsia="Play" w:hAnsi="Play" w:cs="Play"/>
          <w:color w:val="000000"/>
          <w:sz w:val="20"/>
          <w:szCs w:val="20"/>
          <w:highlight w:val="yellow"/>
          <w:u w:val="single"/>
        </w:rPr>
        <w:t>no existe incumplimiento de normativa alguna por no contar con tres cotizaciones para el presente procedimiento de contratación</w:t>
      </w:r>
      <w:r>
        <w:rPr>
          <w:rFonts w:ascii="Play" w:eastAsia="Play" w:hAnsi="Play" w:cs="Play"/>
          <w:color w:val="000000"/>
          <w:sz w:val="20"/>
          <w:szCs w:val="20"/>
          <w:highlight w:val="yellow"/>
        </w:rPr>
        <w:t>, puesto que existe potestad discrecional de las entidades contratantes en la aplicación de la misma.</w:t>
      </w:r>
    </w:p>
    <w:p w:rsidR="004730DA" w:rsidRDefault="004730DA">
      <w:pPr>
        <w:jc w:val="both"/>
        <w:rPr>
          <w:rFonts w:ascii="Play" w:eastAsia="Play" w:hAnsi="Play" w:cs="Play"/>
          <w:sz w:val="20"/>
          <w:szCs w:val="20"/>
        </w:rPr>
      </w:pPr>
    </w:p>
    <w:p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CONCLUSIÓN: DETERMINACIÓN DEL PRESUPUESTO REFERENCIAL</w:t>
      </w:r>
    </w:p>
    <w:p w:rsidR="004730DA" w:rsidRDefault="004730DA">
      <w:pPr>
        <w:pBdr>
          <w:top w:val="nil"/>
          <w:left w:val="nil"/>
          <w:bottom w:val="nil"/>
          <w:right w:val="nil"/>
          <w:between w:val="nil"/>
        </w:pBdr>
        <w:jc w:val="both"/>
        <w:rPr>
          <w:rFonts w:ascii="Play" w:eastAsia="Play" w:hAnsi="Play" w:cs="Play"/>
          <w:b/>
          <w:color w:val="000000"/>
          <w:sz w:val="20"/>
          <w:szCs w:val="20"/>
        </w:rPr>
      </w:pPr>
    </w:p>
    <w:p w:rsidR="004730DA" w:rsidRDefault="00CD3D44">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 xml:space="preserve">Por lo antes expuesto, dando cumplimiento a lo establecido en el artículo 49, 50 y 149 del Reglamento General de la Ley Orgánica del Sistema Nacional de Contratación Pública, se considerará como presupuesto referencial el valor de USD </w:t>
      </w:r>
      <w:proofErr w:type="gramStart"/>
      <w:r>
        <w:rPr>
          <w:rFonts w:ascii="Play" w:eastAsia="Play" w:hAnsi="Play" w:cs="Play"/>
          <w:color w:val="000000"/>
          <w:sz w:val="20"/>
          <w:szCs w:val="20"/>
          <w:highlight w:val="white"/>
        </w:rPr>
        <w:t>XXXXXXX,XX</w:t>
      </w:r>
      <w:proofErr w:type="gramEnd"/>
      <w:r>
        <w:rPr>
          <w:rFonts w:ascii="Play" w:eastAsia="Play" w:hAnsi="Play" w:cs="Play"/>
          <w:color w:val="000000"/>
          <w:sz w:val="20"/>
          <w:szCs w:val="20"/>
          <w:highlight w:val="white"/>
        </w:rPr>
        <w:t xml:space="preserve"> (indicar cantidad en letras/dólares de los Estados Unidos de América) más IVA, de acuerdo al siguiente detalle; aplicando el mecanismo de ÍNFIMA CUANTÍA.</w:t>
      </w:r>
    </w:p>
    <w:p w:rsidR="004730DA" w:rsidRDefault="004730DA">
      <w:pPr>
        <w:ind w:right="119"/>
        <w:jc w:val="both"/>
        <w:rPr>
          <w:rFonts w:ascii="Play" w:eastAsia="Play" w:hAnsi="Play" w:cs="Play"/>
          <w:color w:val="000000"/>
          <w:sz w:val="20"/>
          <w:szCs w:val="20"/>
          <w:highlight w:val="white"/>
        </w:rPr>
      </w:pPr>
    </w:p>
    <w:p w:rsidR="004730DA" w:rsidRDefault="00CD3D44">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Ejemplo</w:t>
      </w:r>
    </w:p>
    <w:p w:rsidR="004730DA" w:rsidRDefault="004730DA">
      <w:pPr>
        <w:ind w:right="119"/>
        <w:jc w:val="both"/>
        <w:rPr>
          <w:rFonts w:ascii="Play" w:eastAsia="Play" w:hAnsi="Play" w:cs="Play"/>
          <w:color w:val="000000"/>
          <w:sz w:val="20"/>
          <w:szCs w:val="20"/>
          <w:highlight w:val="white"/>
        </w:rPr>
      </w:pPr>
    </w:p>
    <w:tbl>
      <w:tblPr>
        <w:tblStyle w:val="a6"/>
        <w:tblW w:w="8488" w:type="dxa"/>
        <w:tblInd w:w="0" w:type="dxa"/>
        <w:tblLayout w:type="fixed"/>
        <w:tblLook w:val="0400" w:firstRow="0" w:lastRow="0" w:firstColumn="0" w:lastColumn="0" w:noHBand="0" w:noVBand="1"/>
      </w:tblPr>
      <w:tblGrid>
        <w:gridCol w:w="746"/>
        <w:gridCol w:w="742"/>
        <w:gridCol w:w="2692"/>
        <w:gridCol w:w="952"/>
        <w:gridCol w:w="952"/>
        <w:gridCol w:w="1202"/>
        <w:gridCol w:w="1202"/>
      </w:tblGrid>
      <w:tr w:rsidR="004730DA">
        <w:trPr>
          <w:trHeight w:val="255"/>
        </w:trPr>
        <w:tc>
          <w:tcPr>
            <w:tcW w:w="74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Ítem</w:t>
            </w:r>
          </w:p>
        </w:tc>
        <w:tc>
          <w:tcPr>
            <w:tcW w:w="74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Código CPC</w:t>
            </w:r>
          </w:p>
        </w:tc>
        <w:tc>
          <w:tcPr>
            <w:tcW w:w="269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Descripción</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Cantidad</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Unidad</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Precio unitario</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4730DA" w:rsidRDefault="00CD3D44">
            <w:pPr>
              <w:jc w:val="center"/>
              <w:rPr>
                <w:rFonts w:ascii="Play" w:eastAsia="Play" w:hAnsi="Play" w:cs="Play"/>
                <w:b/>
                <w:sz w:val="20"/>
                <w:szCs w:val="20"/>
              </w:rPr>
            </w:pPr>
            <w:r>
              <w:rPr>
                <w:rFonts w:ascii="Play" w:eastAsia="Play" w:hAnsi="Play" w:cs="Play"/>
                <w:b/>
                <w:sz w:val="20"/>
                <w:szCs w:val="20"/>
              </w:rPr>
              <w:t>Precio Total</w:t>
            </w:r>
          </w:p>
        </w:tc>
      </w:tr>
      <w:tr w:rsidR="004730DA">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nil"/>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rsidR="004730DA" w:rsidRDefault="004730DA">
            <w:pPr>
              <w:jc w:val="center"/>
              <w:rPr>
                <w:rFonts w:ascii="Play" w:eastAsia="Play" w:hAnsi="Play" w:cs="Play"/>
                <w:sz w:val="20"/>
                <w:szCs w:val="20"/>
              </w:rPr>
            </w:pPr>
          </w:p>
        </w:tc>
      </w:tr>
      <w:tr w:rsidR="004730DA">
        <w:trPr>
          <w:trHeight w:val="255"/>
        </w:trPr>
        <w:tc>
          <w:tcPr>
            <w:tcW w:w="746" w:type="dxa"/>
            <w:tcBorders>
              <w:top w:val="single" w:sz="4" w:space="0" w:color="000000"/>
            </w:tcBorders>
            <w:vAlign w:val="center"/>
          </w:tcPr>
          <w:p w:rsidR="004730DA" w:rsidRDefault="004730DA">
            <w:pPr>
              <w:jc w:val="center"/>
              <w:rPr>
                <w:rFonts w:ascii="Play" w:eastAsia="Play" w:hAnsi="Play" w:cs="Play"/>
                <w:sz w:val="20"/>
                <w:szCs w:val="20"/>
              </w:rPr>
            </w:pPr>
          </w:p>
        </w:tc>
        <w:tc>
          <w:tcPr>
            <w:tcW w:w="742" w:type="dxa"/>
            <w:tcBorders>
              <w:top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2692" w:type="dxa"/>
            <w:tcBorders>
              <w:top w:val="single" w:sz="4" w:space="0" w:color="000000"/>
            </w:tcBorders>
            <w:shd w:val="clear" w:color="auto" w:fill="auto"/>
            <w:vAlign w:val="center"/>
          </w:tcPr>
          <w:p w:rsidR="004730DA" w:rsidRDefault="004730DA">
            <w:pPr>
              <w:jc w:val="center"/>
              <w:rPr>
                <w:rFonts w:ascii="Play" w:eastAsia="Play" w:hAnsi="Play" w:cs="Play"/>
                <w:sz w:val="20"/>
                <w:szCs w:val="20"/>
              </w:rPr>
            </w:pPr>
          </w:p>
        </w:tc>
        <w:tc>
          <w:tcPr>
            <w:tcW w:w="952" w:type="dxa"/>
            <w:tcBorders>
              <w:top w:val="single" w:sz="4" w:space="0" w:color="000000"/>
              <w:left w:val="nil"/>
              <w:right w:val="single" w:sz="4" w:space="0" w:color="000000"/>
            </w:tcBorders>
            <w:vAlign w:val="center"/>
          </w:tcPr>
          <w:p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0DA" w:rsidRDefault="00CD3D44">
            <w:pPr>
              <w:jc w:val="center"/>
              <w:rPr>
                <w:rFonts w:ascii="Play" w:eastAsia="Play" w:hAnsi="Play" w:cs="Play"/>
                <w:sz w:val="20"/>
                <w:szCs w:val="20"/>
              </w:rPr>
            </w:pPr>
            <w:r>
              <w:rPr>
                <w:rFonts w:ascii="Play" w:eastAsia="Play" w:hAnsi="Play" w:cs="Play"/>
                <w:sz w:val="20"/>
                <w:szCs w:val="20"/>
              </w:rPr>
              <w:t>T</w:t>
            </w:r>
            <w:r>
              <w:t>otal</w:t>
            </w:r>
          </w:p>
        </w:tc>
        <w:tc>
          <w:tcPr>
            <w:tcW w:w="1202" w:type="dxa"/>
            <w:tcBorders>
              <w:top w:val="single" w:sz="4" w:space="0" w:color="000000"/>
              <w:left w:val="nil"/>
              <w:bottom w:val="single" w:sz="4" w:space="0" w:color="000000"/>
              <w:right w:val="single" w:sz="4" w:space="0" w:color="000000"/>
            </w:tcBorders>
            <w:vAlign w:val="center"/>
          </w:tcPr>
          <w:p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rsidR="004730DA" w:rsidRDefault="004730DA">
            <w:pPr>
              <w:jc w:val="center"/>
              <w:rPr>
                <w:rFonts w:ascii="Play" w:eastAsia="Play" w:hAnsi="Play" w:cs="Play"/>
                <w:sz w:val="20"/>
                <w:szCs w:val="20"/>
              </w:rPr>
            </w:pPr>
          </w:p>
        </w:tc>
      </w:tr>
    </w:tbl>
    <w:p w:rsidR="004730DA" w:rsidRDefault="004730DA">
      <w:pPr>
        <w:ind w:right="119"/>
        <w:jc w:val="both"/>
        <w:rPr>
          <w:rFonts w:ascii="Play" w:eastAsia="Play" w:hAnsi="Play" w:cs="Play"/>
          <w:color w:val="000000"/>
          <w:sz w:val="20"/>
          <w:szCs w:val="20"/>
          <w:highlight w:val="white"/>
        </w:rPr>
      </w:pPr>
    </w:p>
    <w:p w:rsidR="004730DA" w:rsidRDefault="004730DA">
      <w:pPr>
        <w:ind w:right="119"/>
        <w:jc w:val="both"/>
        <w:rPr>
          <w:rFonts w:ascii="Play" w:eastAsia="Play" w:hAnsi="Play" w:cs="Play"/>
          <w:color w:val="000000"/>
          <w:sz w:val="20"/>
          <w:szCs w:val="20"/>
          <w:highlight w:val="white"/>
        </w:rPr>
      </w:pPr>
    </w:p>
    <w:p w:rsidR="004730DA" w:rsidRDefault="004730DA">
      <w:pPr>
        <w:ind w:right="119"/>
        <w:jc w:val="both"/>
        <w:rPr>
          <w:rFonts w:ascii="Play" w:eastAsia="Play" w:hAnsi="Play" w:cs="Play"/>
          <w:color w:val="000000"/>
          <w:sz w:val="20"/>
          <w:szCs w:val="20"/>
          <w:highlight w:val="white"/>
        </w:rPr>
      </w:pPr>
    </w:p>
    <w:p w:rsidR="004730DA" w:rsidRDefault="004730DA">
      <w:pPr>
        <w:ind w:right="119"/>
        <w:jc w:val="both"/>
        <w:rPr>
          <w:rFonts w:ascii="Play" w:eastAsia="Play" w:hAnsi="Play" w:cs="Play"/>
          <w:color w:val="000000"/>
          <w:sz w:val="20"/>
          <w:szCs w:val="20"/>
          <w:highlight w:val="white"/>
        </w:rPr>
      </w:pPr>
    </w:p>
    <w:p w:rsidR="004730DA" w:rsidRDefault="00CD3D44">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Para constancia de lo actuado, firman el presente documento.</w:t>
      </w:r>
    </w:p>
    <w:p w:rsidR="004730DA" w:rsidRDefault="004730DA">
      <w:pPr>
        <w:ind w:left="-709" w:right="-336"/>
        <w:jc w:val="both"/>
        <w:rPr>
          <w:rFonts w:ascii="Play" w:eastAsia="Play" w:hAnsi="Play" w:cs="Play"/>
          <w:color w:val="000000"/>
          <w:sz w:val="20"/>
          <w:szCs w:val="20"/>
          <w:highlight w:val="white"/>
        </w:rPr>
      </w:pPr>
    </w:p>
    <w:p w:rsidR="004730DA" w:rsidRDefault="004730DA">
      <w:pPr>
        <w:ind w:left="-709" w:right="-336" w:firstLine="709"/>
        <w:jc w:val="both"/>
        <w:rPr>
          <w:rFonts w:ascii="Play" w:eastAsia="Play" w:hAnsi="Play" w:cs="Play"/>
          <w:color w:val="000000"/>
          <w:sz w:val="20"/>
          <w:szCs w:val="20"/>
          <w:highlight w:val="white"/>
        </w:rPr>
      </w:pPr>
    </w:p>
    <w:p w:rsidR="004730DA" w:rsidRDefault="004730DA">
      <w:pPr>
        <w:ind w:left="-709" w:right="-336" w:firstLine="709"/>
        <w:jc w:val="both"/>
        <w:rPr>
          <w:rFonts w:ascii="Play" w:eastAsia="Play" w:hAnsi="Play" w:cs="Play"/>
          <w:color w:val="000000"/>
          <w:sz w:val="20"/>
          <w:szCs w:val="20"/>
          <w:highlight w:val="white"/>
        </w:rPr>
      </w:pPr>
    </w:p>
    <w:tbl>
      <w:tblPr>
        <w:tblStyle w:val="a7"/>
        <w:tblW w:w="8361"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2885"/>
        <w:gridCol w:w="2752"/>
        <w:gridCol w:w="2724"/>
      </w:tblGrid>
      <w:tr w:rsidR="004730DA">
        <w:tc>
          <w:tcPr>
            <w:tcW w:w="2885" w:type="dxa"/>
          </w:tcPr>
          <w:p w:rsidR="004730DA" w:rsidRDefault="00CD3D44">
            <w:pPr>
              <w:ind w:right="26"/>
              <w:jc w:val="center"/>
              <w:rPr>
                <w:rFonts w:ascii="Play" w:eastAsia="Play" w:hAnsi="Play" w:cs="Play"/>
                <w:color w:val="000000"/>
                <w:sz w:val="20"/>
                <w:szCs w:val="20"/>
                <w:highlight w:val="white"/>
              </w:rPr>
            </w:pPr>
            <w:r>
              <w:rPr>
                <w:rFonts w:ascii="Play" w:eastAsia="Play" w:hAnsi="Play" w:cs="Play"/>
                <w:color w:val="000000"/>
                <w:sz w:val="20"/>
                <w:szCs w:val="20"/>
                <w:highlight w:val="white"/>
              </w:rPr>
              <w:t>Elaborado por:</w:t>
            </w:r>
          </w:p>
          <w:p w:rsidR="004730DA" w:rsidRDefault="004730DA">
            <w:pPr>
              <w:ind w:right="26"/>
              <w:jc w:val="center"/>
              <w:rPr>
                <w:rFonts w:ascii="Play" w:eastAsia="Play" w:hAnsi="Play" w:cs="Play"/>
                <w:color w:val="000000"/>
                <w:sz w:val="20"/>
                <w:szCs w:val="20"/>
                <w:highlight w:val="green"/>
              </w:rPr>
            </w:pPr>
          </w:p>
          <w:p w:rsidR="004730DA" w:rsidRDefault="00CD3D44">
            <w:pPr>
              <w:ind w:right="26"/>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52" w:type="dxa"/>
          </w:tcPr>
          <w:p w:rsidR="004730DA" w:rsidRDefault="00CD3D44">
            <w:pPr>
              <w:ind w:right="33"/>
              <w:jc w:val="center"/>
              <w:rPr>
                <w:rFonts w:ascii="Play" w:eastAsia="Play" w:hAnsi="Play" w:cs="Play"/>
                <w:color w:val="000000"/>
                <w:sz w:val="20"/>
                <w:szCs w:val="20"/>
                <w:highlight w:val="white"/>
              </w:rPr>
            </w:pPr>
            <w:r>
              <w:rPr>
                <w:rFonts w:ascii="Play" w:eastAsia="Play" w:hAnsi="Play" w:cs="Play"/>
                <w:color w:val="000000"/>
                <w:sz w:val="20"/>
                <w:szCs w:val="20"/>
                <w:highlight w:val="white"/>
              </w:rPr>
              <w:t>Revisado por:</w:t>
            </w:r>
          </w:p>
          <w:p w:rsidR="004730DA" w:rsidRDefault="004730DA">
            <w:pPr>
              <w:ind w:right="33"/>
              <w:jc w:val="center"/>
              <w:rPr>
                <w:rFonts w:ascii="Play" w:eastAsia="Play" w:hAnsi="Play" w:cs="Play"/>
                <w:color w:val="000000"/>
                <w:sz w:val="20"/>
                <w:szCs w:val="20"/>
                <w:highlight w:val="white"/>
              </w:rPr>
            </w:pPr>
          </w:p>
          <w:p w:rsidR="004730DA" w:rsidRDefault="00CD3D44">
            <w:pPr>
              <w:ind w:right="33"/>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24" w:type="dxa"/>
          </w:tcPr>
          <w:p w:rsidR="004730DA" w:rsidRDefault="00CD3D44">
            <w:pPr>
              <w:ind w:right="1"/>
              <w:jc w:val="center"/>
              <w:rPr>
                <w:rFonts w:ascii="Play" w:eastAsia="Play" w:hAnsi="Play" w:cs="Play"/>
                <w:color w:val="000000"/>
                <w:sz w:val="20"/>
                <w:szCs w:val="20"/>
                <w:highlight w:val="white"/>
              </w:rPr>
            </w:pPr>
            <w:r>
              <w:rPr>
                <w:rFonts w:ascii="Play" w:eastAsia="Play" w:hAnsi="Play" w:cs="Play"/>
                <w:color w:val="000000"/>
                <w:sz w:val="20"/>
                <w:szCs w:val="20"/>
                <w:highlight w:val="white"/>
              </w:rPr>
              <w:t>Aprobado por:</w:t>
            </w:r>
          </w:p>
          <w:p w:rsidR="004730DA" w:rsidRDefault="004730DA">
            <w:pPr>
              <w:ind w:right="1"/>
              <w:jc w:val="center"/>
              <w:rPr>
                <w:rFonts w:ascii="Play" w:eastAsia="Play" w:hAnsi="Play" w:cs="Play"/>
                <w:color w:val="000000"/>
                <w:sz w:val="20"/>
                <w:szCs w:val="20"/>
                <w:highlight w:val="white"/>
              </w:rPr>
            </w:pPr>
          </w:p>
          <w:p w:rsidR="004730DA" w:rsidRDefault="00CD3D44">
            <w:pPr>
              <w:ind w:right="1"/>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r>
    </w:tbl>
    <w:p w:rsidR="004730DA" w:rsidRDefault="004730DA">
      <w:pPr>
        <w:rPr>
          <w:rFonts w:ascii="Play" w:eastAsia="Play" w:hAnsi="Play" w:cs="Play"/>
          <w:sz w:val="20"/>
          <w:szCs w:val="20"/>
        </w:rPr>
      </w:pPr>
    </w:p>
    <w:p w:rsidR="004730DA" w:rsidRDefault="004730DA"/>
    <w:sectPr w:rsidR="004730DA">
      <w:headerReference w:type="default" r:id="rId8"/>
      <w:foot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2BA" w:rsidRDefault="00CD3D44">
      <w:r>
        <w:separator/>
      </w:r>
    </w:p>
  </w:endnote>
  <w:endnote w:type="continuationSeparator" w:id="0">
    <w:p w:rsidR="00F052BA" w:rsidRDefault="00CD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altName w:val="Cambria"/>
    <w:charset w:val="00"/>
    <w:family w:val="auto"/>
    <w:pitch w:val="default"/>
  </w:font>
  <w:font w:name="Play">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DA" w:rsidRDefault="00CD3D44">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05B83">
      <w:rPr>
        <w:b/>
        <w:noProof/>
        <w:color w:val="000000"/>
      </w:rPr>
      <w:t>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05B83">
      <w:rPr>
        <w:b/>
        <w:noProof/>
        <w:color w:val="000000"/>
      </w:rPr>
      <w:t>9</w:t>
    </w:r>
    <w:r>
      <w:rPr>
        <w:b/>
        <w:color w:val="000000"/>
      </w:rPr>
      <w:fldChar w:fldCharType="end"/>
    </w:r>
  </w:p>
  <w:p w:rsidR="004730DA" w:rsidRDefault="00CD3D44">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2BA" w:rsidRDefault="00CD3D44">
      <w:r>
        <w:separator/>
      </w:r>
    </w:p>
  </w:footnote>
  <w:footnote w:type="continuationSeparator" w:id="0">
    <w:p w:rsidR="00F052BA" w:rsidRDefault="00CD3D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DA" w:rsidRDefault="00CD3D4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1D15"/>
    <w:multiLevelType w:val="multilevel"/>
    <w:tmpl w:val="A63CF336"/>
    <w:lvl w:ilvl="0">
      <w:start w:val="1"/>
      <w:numFmt w:val="decimal"/>
      <w:lvlText w:val="%1."/>
      <w:lvlJc w:val="left"/>
      <w:pPr>
        <w:ind w:left="4755" w:hanging="360"/>
      </w:pPr>
    </w:lvl>
    <w:lvl w:ilvl="1">
      <w:start w:val="1"/>
      <w:numFmt w:val="decimal"/>
      <w:lvlText w:val="%2."/>
      <w:lvlJc w:val="left"/>
      <w:pPr>
        <w:ind w:left="4825" w:hanging="430"/>
      </w:pPr>
      <w:rPr>
        <w:rFonts w:ascii="Calibri" w:eastAsia="Calibri" w:hAnsi="Calibri" w:cs="Calibri"/>
      </w:rPr>
    </w:lvl>
    <w:lvl w:ilvl="2">
      <w:start w:val="1"/>
      <w:numFmt w:val="decimal"/>
      <w:lvlText w:val="%1.%2.%3"/>
      <w:lvlJc w:val="left"/>
      <w:pPr>
        <w:ind w:left="5115" w:hanging="720"/>
      </w:pPr>
    </w:lvl>
    <w:lvl w:ilvl="3">
      <w:start w:val="1"/>
      <w:numFmt w:val="decimal"/>
      <w:lvlText w:val="%1.%2.%3.%4"/>
      <w:lvlJc w:val="left"/>
      <w:pPr>
        <w:ind w:left="5115" w:hanging="720"/>
      </w:pPr>
    </w:lvl>
    <w:lvl w:ilvl="4">
      <w:start w:val="1"/>
      <w:numFmt w:val="decimal"/>
      <w:lvlText w:val="%1.%2.%3.%4.%5"/>
      <w:lvlJc w:val="left"/>
      <w:pPr>
        <w:ind w:left="5475" w:hanging="1080"/>
      </w:pPr>
    </w:lvl>
    <w:lvl w:ilvl="5">
      <w:start w:val="1"/>
      <w:numFmt w:val="decimal"/>
      <w:lvlText w:val="%1.%2.%3.%4.%5.%6"/>
      <w:lvlJc w:val="left"/>
      <w:pPr>
        <w:ind w:left="5475" w:hanging="1080"/>
      </w:pPr>
    </w:lvl>
    <w:lvl w:ilvl="6">
      <w:start w:val="1"/>
      <w:numFmt w:val="decimal"/>
      <w:lvlText w:val="%1.%2.%3.%4.%5.%6.%7"/>
      <w:lvlJc w:val="left"/>
      <w:pPr>
        <w:ind w:left="5835" w:hanging="1440"/>
      </w:pPr>
    </w:lvl>
    <w:lvl w:ilvl="7">
      <w:start w:val="1"/>
      <w:numFmt w:val="decimal"/>
      <w:lvlText w:val="%1.%2.%3.%4.%5.%6.%7.%8"/>
      <w:lvlJc w:val="left"/>
      <w:pPr>
        <w:ind w:left="5835" w:hanging="1440"/>
      </w:pPr>
    </w:lvl>
    <w:lvl w:ilvl="8">
      <w:start w:val="1"/>
      <w:numFmt w:val="decimal"/>
      <w:lvlText w:val="%1.%2.%3.%4.%5.%6.%7.%8.%9"/>
      <w:lvlJc w:val="left"/>
      <w:pPr>
        <w:ind w:left="6195" w:hanging="1800"/>
      </w:pPr>
    </w:lvl>
  </w:abstractNum>
  <w:abstractNum w:abstractNumId="1" w15:restartNumberingAfterBreak="0">
    <w:nsid w:val="7C923D82"/>
    <w:multiLevelType w:val="multilevel"/>
    <w:tmpl w:val="DFAC47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DA"/>
    <w:rsid w:val="000116C5"/>
    <w:rsid w:val="0008012B"/>
    <w:rsid w:val="001D6189"/>
    <w:rsid w:val="004730DA"/>
    <w:rsid w:val="006969D0"/>
    <w:rsid w:val="00701682"/>
    <w:rsid w:val="00B659F4"/>
    <w:rsid w:val="00CD3D44"/>
    <w:rsid w:val="00CE35E7"/>
    <w:rsid w:val="00DC3CC3"/>
    <w:rsid w:val="00E05B83"/>
    <w:rsid w:val="00F052B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6B21"/>
  <w15:docId w15:val="{0232DD3B-589E-4777-B3A5-767CDB61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character" w:customStyle="1" w:styleId="normaltextrun">
    <w:name w:val="normaltextrun"/>
    <w:basedOn w:val="Fuentedeprrafopredeter"/>
    <w:rsid w:val="00FA7F6C"/>
  </w:style>
  <w:style w:type="character" w:customStyle="1" w:styleId="eop">
    <w:name w:val="eop"/>
    <w:basedOn w:val="Fuentedeprrafopredeter"/>
    <w:rsid w:val="00FA7F6C"/>
  </w:style>
  <w:style w:type="character" w:styleId="Hipervnculo">
    <w:name w:val="Hyperlink"/>
    <w:uiPriority w:val="99"/>
    <w:unhideWhenUsed/>
    <w:rsid w:val="00FA7F6C"/>
    <w:rPr>
      <w:color w:val="0563C1"/>
      <w:u w:val="single"/>
    </w:rPr>
  </w:style>
  <w:style w:type="character" w:customStyle="1" w:styleId="Mencinsinresolver1">
    <w:name w:val="Mención sin resolver1"/>
    <w:basedOn w:val="Fuentedeprrafopredeter"/>
    <w:uiPriority w:val="99"/>
    <w:semiHidden/>
    <w:unhideWhenUsed/>
    <w:rsid w:val="00FA7F6C"/>
    <w:rPr>
      <w:color w:val="605E5C"/>
      <w:shd w:val="clear" w:color="auto" w:fill="E1DFDD"/>
    </w:rPr>
  </w:style>
  <w:style w:type="paragraph" w:customStyle="1" w:styleId="Default">
    <w:name w:val="Default"/>
    <w:rsid w:val="00FA7F6C"/>
    <w:pPr>
      <w:autoSpaceDE w:val="0"/>
      <w:autoSpaceDN w:val="0"/>
      <w:adjustRightInd w:val="0"/>
    </w:pPr>
    <w:rPr>
      <w:rFonts w:ascii="Calibri" w:hAnsi="Calibri" w:cs="Calibri"/>
      <w:color w:val="000000"/>
    </w:rPr>
  </w:style>
  <w:style w:type="character" w:styleId="Hipervnculovisitado">
    <w:name w:val="FollowedHyperlink"/>
    <w:basedOn w:val="Fuentedeprrafopredeter"/>
    <w:uiPriority w:val="99"/>
    <w:semiHidden/>
    <w:unhideWhenUsed/>
    <w:rsid w:val="00FA7F6C"/>
    <w:rPr>
      <w:color w:val="96607D" w:themeColor="followedHyperlink"/>
      <w:u w:val="single"/>
    </w:rPr>
  </w:style>
  <w:style w:type="character" w:customStyle="1" w:styleId="UnresolvedMention">
    <w:name w:val="Unresolved Mention"/>
    <w:basedOn w:val="Fuentedeprrafopredeter"/>
    <w:uiPriority w:val="99"/>
    <w:semiHidden/>
    <w:unhideWhenUsed/>
    <w:rsid w:val="00FA7F6C"/>
    <w:rPr>
      <w:color w:val="605E5C"/>
      <w:shd w:val="clear" w:color="auto" w:fill="E1DFDD"/>
    </w:rPr>
  </w:style>
  <w:style w:type="paragraph" w:customStyle="1" w:styleId="msonormal0">
    <w:name w:val="msonormal"/>
    <w:basedOn w:val="Normal"/>
    <w:rsid w:val="00FA7F6C"/>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A7F6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80"/>
    </w:rPr>
  </w:style>
  <w:style w:type="paragraph" w:customStyle="1" w:styleId="xl64">
    <w:name w:val="xl64"/>
    <w:basedOn w:val="Normal"/>
    <w:rsid w:val="00FA7F6C"/>
    <w:pPr>
      <w:spacing w:before="100" w:beforeAutospacing="1" w:after="100" w:afterAutospacing="1"/>
      <w:jc w:val="center"/>
    </w:pPr>
    <w:rPr>
      <w:rFonts w:ascii="Times New Roman" w:eastAsia="Times New Roman" w:hAnsi="Times New Roman" w:cs="Times New Roman"/>
    </w:rPr>
  </w:style>
  <w:style w:type="paragraph" w:customStyle="1" w:styleId="xl65">
    <w:name w:val="xl65"/>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A7F6C"/>
    <w:pPr>
      <w:spacing w:before="100" w:beforeAutospacing="1" w:after="100" w:afterAutospacing="1"/>
      <w:jc w:val="center"/>
    </w:pPr>
    <w:rPr>
      <w:rFonts w:ascii="Arial" w:eastAsia="Times New Roman" w:hAnsi="Arial" w:cs="Arial"/>
      <w:b/>
      <w:bCs/>
    </w:rPr>
  </w:style>
  <w:style w:type="paragraph" w:customStyle="1" w:styleId="paragraph">
    <w:name w:val="paragraph"/>
    <w:basedOn w:val="Normal"/>
    <w:rsid w:val="00FA7F6C"/>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Standard">
    <w:name w:val="Standard"/>
    <w:rsid w:val="00E810B3"/>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E810B3"/>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NormalWeb">
    <w:name w:val="Normal (Web)"/>
    <w:basedOn w:val="Normal"/>
    <w:uiPriority w:val="99"/>
    <w:semiHidden/>
    <w:unhideWhenUsed/>
    <w:rsid w:val="008B6EB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6byDZJC5g/lNteLv/yDUOvUg==">CgMxLjAaGAoBMBITChEIB0INCgRQbGF5EgVBcmlhbDIOaC55c2JlamtlcXg2dDAyDmgudmhub2NqNDVwbDFkOAByITFtWlZmWXNIaC1wTWpobG1USHJUTUNhRTBWR2liYXNiTg==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3710</Words>
  <Characters>20409</Characters>
  <Application>Microsoft Office Word</Application>
  <DocSecurity>0</DocSecurity>
  <Lines>170</Lines>
  <Paragraphs>48</Paragraphs>
  <ScaleCrop>false</ScaleCrop>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Joao Eduardo Cruz Granja</cp:lastModifiedBy>
  <cp:revision>12</cp:revision>
  <dcterms:created xsi:type="dcterms:W3CDTF">2025-08-14T20:02:00Z</dcterms:created>
  <dcterms:modified xsi:type="dcterms:W3CDTF">2025-09-18T20:08:00Z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